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математике</w:t>
      </w:r>
    </w:p>
    <w:p w:rsidR="00204F85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9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>16.12.2015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КДР по математике  выполняли 574 </w:t>
      </w:r>
      <w:r w:rsidR="0001078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из 643</w:t>
      </w:r>
      <w:r w:rsidR="00010780">
        <w:rPr>
          <w:rFonts w:ascii="Times New Roman" w:hAnsi="Times New Roman" w:cs="Times New Roman"/>
          <w:sz w:val="28"/>
          <w:szCs w:val="28"/>
        </w:rPr>
        <w:t>учащихся 9-х классов района</w:t>
      </w:r>
      <w:r w:rsidRPr="00010780">
        <w:rPr>
          <w:rFonts w:ascii="Times New Roman" w:hAnsi="Times New Roman" w:cs="Times New Roman"/>
          <w:sz w:val="28"/>
          <w:szCs w:val="28"/>
        </w:rPr>
        <w:t xml:space="preserve">, что составило 89% от  всех </w:t>
      </w:r>
      <w:r w:rsidR="0001078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Каждый вариант содержал 10 заданий, из которых 9 заданий базового уровня (часть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1) с кратким ответом и 1 задание повышенного уровня (часть 2) с развернутым ответом.</w:t>
      </w:r>
    </w:p>
    <w:p w:rsidR="00204F85" w:rsidRPr="00010780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Задания разделены на модули. Модуль «Алгебра»: 1часть задания 1-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6, 2 часть задание 10. Модуль «Реальная математика» 1 часть задания 7-9.</w:t>
      </w:r>
    </w:p>
    <w:p w:rsidR="00204F85" w:rsidRPr="00010780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математике на данном этапе обучения для планирования дальнейшего процесса подготовки к ОГЭ</w:t>
      </w:r>
      <w:r w:rsidR="00010780">
        <w:rPr>
          <w:rFonts w:ascii="Times New Roman" w:hAnsi="Times New Roman" w:cs="Times New Roman"/>
          <w:sz w:val="28"/>
          <w:szCs w:val="28"/>
        </w:rPr>
        <w:t>- 2016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Средний балл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в районе </w:t>
      </w:r>
      <w:r w:rsidRPr="00010780">
        <w:rPr>
          <w:rFonts w:ascii="Times New Roman" w:hAnsi="Times New Roman" w:cs="Times New Roman"/>
          <w:b/>
          <w:sz w:val="28"/>
          <w:szCs w:val="28"/>
        </w:rPr>
        <w:t>-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6,6 б. 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На диаграмме </w:t>
      </w:r>
      <w:r w:rsidR="00010780">
        <w:rPr>
          <w:rFonts w:ascii="Times New Roman" w:hAnsi="Times New Roman" w:cs="Times New Roman"/>
          <w:sz w:val="28"/>
          <w:szCs w:val="28"/>
        </w:rPr>
        <w:t>1</w:t>
      </w:r>
      <w:r w:rsidR="00010780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представлены проценты полученных оценок.</w:t>
      </w:r>
    </w:p>
    <w:p w:rsidR="007D6736" w:rsidRPr="00010780" w:rsidRDefault="007D6736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197" w:rsidRPr="00010780" w:rsidRDefault="006B6197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92654"/>
            <wp:effectExtent l="19050" t="0" r="22225" b="294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4FAE" w:rsidRDefault="00714FAE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На диаграмме 2 результаты выполнения работы по школам (процент положительных результатов)</w:t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4F85" w:rsidRPr="00010780" w:rsidRDefault="00714FAE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3175" cy="299085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4FAE" w:rsidRPr="00010780" w:rsidRDefault="00714FAE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4FAE" w:rsidRPr="00010780" w:rsidRDefault="00714FAE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4FAE" w:rsidRPr="00010780" w:rsidRDefault="00714FAE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Диаграмма</w:t>
      </w:r>
      <w:r w:rsidR="00714FAE" w:rsidRPr="00010780">
        <w:rPr>
          <w:rFonts w:ascii="Times New Roman" w:hAnsi="Times New Roman" w:cs="Times New Roman"/>
          <w:sz w:val="28"/>
          <w:szCs w:val="28"/>
        </w:rPr>
        <w:t xml:space="preserve"> 3</w:t>
      </w:r>
      <w:r w:rsidRPr="00010780">
        <w:rPr>
          <w:rFonts w:ascii="Times New Roman" w:hAnsi="Times New Roman" w:cs="Times New Roman"/>
          <w:sz w:val="28"/>
          <w:szCs w:val="28"/>
        </w:rPr>
        <w:t>.Результаты выполнения заданий.</w:t>
      </w:r>
    </w:p>
    <w:p w:rsidR="00714FAE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5147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4FAE" w:rsidRPr="00010780" w:rsidRDefault="00714FAE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Резул</w:t>
      </w:r>
      <w:r w:rsidR="00FA7139" w:rsidRPr="00010780">
        <w:rPr>
          <w:rFonts w:ascii="Times New Roman" w:hAnsi="Times New Roman" w:cs="Times New Roman"/>
          <w:sz w:val="28"/>
          <w:szCs w:val="28"/>
        </w:rPr>
        <w:t>ьтаты данной контрольной работы.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010780">
        <w:rPr>
          <w:rFonts w:ascii="Times New Roman" w:hAnsi="Times New Roman" w:cs="Times New Roman"/>
          <w:b/>
          <w:sz w:val="28"/>
          <w:szCs w:val="28"/>
        </w:rPr>
        <w:t>низкие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результаты выполнения работы 1 части по заданиям </w:t>
      </w:r>
      <w:r w:rsidRPr="00010780">
        <w:rPr>
          <w:rFonts w:ascii="Times New Roman" w:hAnsi="Times New Roman" w:cs="Times New Roman"/>
          <w:b/>
          <w:sz w:val="28"/>
          <w:szCs w:val="28"/>
        </w:rPr>
        <w:t>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4 и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9.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№4 (59%)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проверяло умение выполнять преобразования алгебраических выражений с применением формул сокращенного умножения.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619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9 (55%)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решение задач на </w:t>
      </w:r>
      <w:proofErr w:type="spellStart"/>
      <w:r w:rsidRPr="00010780">
        <w:rPr>
          <w:rFonts w:ascii="Times New Roman" w:hAnsi="Times New Roman" w:cs="Times New Roman"/>
          <w:sz w:val="28"/>
          <w:szCs w:val="28"/>
        </w:rPr>
        <w:t>процеты</w:t>
      </w:r>
      <w:proofErr w:type="spellEnd"/>
      <w:r w:rsidR="00010780"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7429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780">
        <w:rPr>
          <w:rFonts w:ascii="Times New Roman" w:hAnsi="Times New Roman" w:cs="Times New Roman"/>
          <w:sz w:val="28"/>
          <w:szCs w:val="28"/>
        </w:rPr>
        <w:t>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Остальные задания выполнены достаточно хорошо 70%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-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80%</w:t>
      </w:r>
      <w:r w:rsidR="00010780">
        <w:rPr>
          <w:rFonts w:ascii="Times New Roman" w:hAnsi="Times New Roman" w:cs="Times New Roman"/>
          <w:sz w:val="28"/>
          <w:szCs w:val="28"/>
        </w:rPr>
        <w:t>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№1 (72 %)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проверяло умение учащихся выполнять действия с рациональными числами.</w:t>
      </w:r>
      <w:r w:rsidR="007B4048" w:rsidRPr="00010780">
        <w:rPr>
          <w:rFonts w:ascii="Times New Roman" w:hAnsi="Times New Roman" w:cs="Times New Roman"/>
          <w:sz w:val="28"/>
          <w:szCs w:val="28"/>
        </w:rPr>
        <w:t xml:space="preserve"> Данное задание должны выполнять большее количество учащихся.</w:t>
      </w: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39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Свойства числовых неравенств </w:t>
      </w:r>
      <w:r w:rsidRPr="00010780">
        <w:rPr>
          <w:rFonts w:ascii="Times New Roman" w:hAnsi="Times New Roman" w:cs="Times New Roman"/>
          <w:b/>
          <w:sz w:val="28"/>
          <w:szCs w:val="28"/>
        </w:rPr>
        <w:t>задание №2 выполнили 69 %</w:t>
      </w:r>
      <w:r w:rsidRPr="00010780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7139" w:rsidRPr="00010780" w:rsidRDefault="00FA7139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7239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39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3 (78%)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проверяло умение учащихся решать линейные уравнения.</w:t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010780">
        <w:rPr>
          <w:rFonts w:ascii="Times New Roman" w:hAnsi="Times New Roman" w:cs="Times New Roman"/>
          <w:b/>
          <w:sz w:val="28"/>
          <w:szCs w:val="28"/>
        </w:rPr>
        <w:t>задания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5 (76 %)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учащиеся использовали свойства линейной функции.</w:t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19812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48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6 (71%)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. Применение свойств арифметического квадратного</w:t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048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4095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048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>7 (80%)</w:t>
      </w:r>
      <w:r w:rsidRPr="00010780">
        <w:rPr>
          <w:rFonts w:ascii="Times New Roman" w:hAnsi="Times New Roman" w:cs="Times New Roman"/>
          <w:sz w:val="28"/>
          <w:szCs w:val="28"/>
        </w:rPr>
        <w:t xml:space="preserve"> проверяло умение применять табличное представление данных для решения задач.</w:t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14859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Задание № 8 (70%).</w:t>
      </w:r>
      <w:r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BC13B0" w:rsidRPr="00010780">
        <w:rPr>
          <w:rFonts w:ascii="Times New Roman" w:hAnsi="Times New Roman" w:cs="Times New Roman"/>
          <w:sz w:val="28"/>
          <w:szCs w:val="28"/>
        </w:rPr>
        <w:t xml:space="preserve">Работа со статистической информацией, анализ </w:t>
      </w:r>
      <w:proofErr w:type="gramStart"/>
      <w:r w:rsidR="00BC13B0" w:rsidRPr="00010780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="00BC13B0" w:rsidRPr="00010780">
        <w:rPr>
          <w:rFonts w:ascii="Times New Roman" w:hAnsi="Times New Roman" w:cs="Times New Roman"/>
          <w:sz w:val="28"/>
          <w:szCs w:val="28"/>
        </w:rPr>
        <w:t xml:space="preserve"> числовых данных-д</w:t>
      </w:r>
      <w:r w:rsidRPr="00010780">
        <w:rPr>
          <w:rFonts w:ascii="Times New Roman" w:hAnsi="Times New Roman" w:cs="Times New Roman"/>
          <w:sz w:val="28"/>
          <w:szCs w:val="28"/>
        </w:rPr>
        <w:t>иаграммы.</w:t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15621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7B4048" w:rsidRPr="00010780" w:rsidRDefault="007B4048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Задание № 10 проверяло умение учащихся решать </w:t>
      </w:r>
      <w:r w:rsidR="00BC13B0" w:rsidRPr="00010780">
        <w:rPr>
          <w:rFonts w:ascii="Times New Roman" w:hAnsi="Times New Roman" w:cs="Times New Roman"/>
          <w:b/>
          <w:sz w:val="28"/>
          <w:szCs w:val="28"/>
        </w:rPr>
        <w:t>уравнения.</w:t>
      </w:r>
    </w:p>
    <w:p w:rsidR="00BC13B0" w:rsidRDefault="00BC13B0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1 балл по данному заданию получило 5% учащихся, 2 балла-14%</w:t>
      </w:r>
    </w:p>
    <w:p w:rsidR="00010780" w:rsidRPr="00010780" w:rsidRDefault="00010780" w:rsidP="00010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6381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78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-</w:t>
      </w:r>
      <w:r w:rsidR="00596F6B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учителям математики организовать регулярную устную работу на уроках с целью закрепления вычислительных навыков;</w:t>
      </w: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-</w:t>
      </w:r>
      <w:r w:rsidR="00596F6B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обучать решению задач на отношение и проценты;</w:t>
      </w: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-</w:t>
      </w:r>
      <w:r w:rsidR="00596F6B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усилить практическую направленность обучения, включая соответствующие задания в каждый урок;</w:t>
      </w:r>
    </w:p>
    <w:p w:rsidR="00596F6B" w:rsidRDefault="00596F6B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6F6B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выделить «проблемные » 3-4 темы в каждом конкретном классе и работать над ликвидацией пробелов в знаниях;</w:t>
      </w:r>
    </w:p>
    <w:p w:rsidR="00BC13B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-</w:t>
      </w:r>
      <w:r w:rsidR="00596F6B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с сильными учащимися проводить разбор методов решения задач повышенного уровня.</w:t>
      </w:r>
    </w:p>
    <w:p w:rsidR="00596F6B" w:rsidRDefault="00596F6B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6F6B" w:rsidRDefault="00596F6B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6F6B" w:rsidRPr="00010780" w:rsidRDefault="00596F6B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Методист МБУ </w:t>
      </w:r>
      <w:r w:rsidR="00596F6B">
        <w:rPr>
          <w:rFonts w:ascii="Times New Roman" w:hAnsi="Times New Roman" w:cs="Times New Roman"/>
          <w:sz w:val="28"/>
          <w:szCs w:val="28"/>
        </w:rPr>
        <w:t>«</w:t>
      </w:r>
      <w:r w:rsidRPr="00010780">
        <w:rPr>
          <w:rFonts w:ascii="Times New Roman" w:hAnsi="Times New Roman" w:cs="Times New Roman"/>
          <w:sz w:val="28"/>
          <w:szCs w:val="28"/>
        </w:rPr>
        <w:t>ЦРО</w:t>
      </w:r>
      <w:r w:rsidR="00596F6B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Pr="0001078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010780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010780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596F6B" w:rsidRDefault="00596F6B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1078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1078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96F6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10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80">
        <w:rPr>
          <w:rFonts w:ascii="Times New Roman" w:hAnsi="Times New Roman" w:cs="Times New Roman"/>
          <w:sz w:val="28"/>
          <w:szCs w:val="28"/>
        </w:rPr>
        <w:t>Братишко</w:t>
      </w:r>
      <w:proofErr w:type="spellEnd"/>
      <w:r w:rsidRPr="0001078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3B0" w:rsidRPr="00010780" w:rsidRDefault="00BC13B0" w:rsidP="0001078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C13B0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204F85"/>
    <w:rsid w:val="00596F6B"/>
    <w:rsid w:val="006B6197"/>
    <w:rsid w:val="00714FAE"/>
    <w:rsid w:val="007B4048"/>
    <w:rsid w:val="007D6736"/>
    <w:rsid w:val="008C1AC5"/>
    <w:rsid w:val="00BC13B0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5.png"/><Relationship Id="rId5" Type="http://schemas.openxmlformats.org/officeDocument/2006/relationships/chart" Target="charts/chart2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chart" Target="charts/chart1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\&#1052;&#1086;&#1080;%20&#1076;&#1086;&#1082;&#1091;&#1084;&#1077;&#1085;&#1090;&#1099;\&#1086;&#1094;&#1077;&#1085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5\&#1056;&#1072;&#1073;&#1086;&#1095;&#1080;&#1081;%20&#1089;&#1090;&#1086;&#1083;\&#1050;&#1086;&#1087;&#1080;&#1103;%20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[оценки.xlsx]Лист1!$A$1:$D$1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[оценки.xlsx]Лист1!$A$2:$D$2</c:f>
              <c:numCache>
                <c:formatCode>0.00%</c:formatCode>
                <c:ptCount val="4"/>
                <c:pt idx="0">
                  <c:v>0.2390000000000001</c:v>
                </c:pt>
                <c:pt idx="1">
                  <c:v>0.3540000000000002</c:v>
                </c:pt>
                <c:pt idx="2">
                  <c:v>0.2890000000000002</c:v>
                </c:pt>
                <c:pt idx="3">
                  <c:v>0.11799999999999998</c:v>
                </c:pt>
              </c:numCache>
            </c:numRef>
          </c:val>
        </c:ser>
      </c:pie3DChart>
    </c:plotArea>
    <c:legend>
      <c:legendPos val="r"/>
    </c:legend>
    <c:plotVisOnly val="1"/>
  </c:chart>
  <c:txPr>
    <a:bodyPr/>
    <a:lstStyle/>
    <a:p>
      <a:pPr>
        <a:defRPr sz="2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Лист1!$A$1:$T$1</c:f>
              <c:strCache>
                <c:ptCount val="2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сош9</c:v>
                </c:pt>
                <c:pt idx="8">
                  <c:v>сош10</c:v>
                </c:pt>
                <c:pt idx="9">
                  <c:v>сош14</c:v>
                </c:pt>
                <c:pt idx="10">
                  <c:v>сош16</c:v>
                </c:pt>
                <c:pt idx="11">
                  <c:v>сош18</c:v>
                </c:pt>
                <c:pt idx="12">
                  <c:v>сош20</c:v>
                </c:pt>
                <c:pt idx="13">
                  <c:v>сош23</c:v>
                </c:pt>
                <c:pt idx="14">
                  <c:v>сош25</c:v>
                </c:pt>
                <c:pt idx="15">
                  <c:v>сош26</c:v>
                </c:pt>
                <c:pt idx="16">
                  <c:v>сош28</c:v>
                </c:pt>
                <c:pt idx="17">
                  <c:v>сош30</c:v>
                </c:pt>
                <c:pt idx="18">
                  <c:v>сош32</c:v>
                </c:pt>
                <c:pt idx="19">
                  <c:v>сош33</c:v>
                </c:pt>
              </c:strCache>
            </c:strRef>
          </c:cat>
          <c:val>
            <c:numRef>
              <c:f>Лист1!$A$2:$T$2</c:f>
              <c:numCache>
                <c:formatCode>0.00%</c:formatCode>
                <c:ptCount val="20"/>
                <c:pt idx="0">
                  <c:v>0.65500000000000025</c:v>
                </c:pt>
                <c:pt idx="1">
                  <c:v>0.71900000000000019</c:v>
                </c:pt>
                <c:pt idx="2" formatCode="0%">
                  <c:v>0.69000000000000017</c:v>
                </c:pt>
                <c:pt idx="3" formatCode="0%">
                  <c:v>0.8</c:v>
                </c:pt>
                <c:pt idx="4">
                  <c:v>0.53300000000000003</c:v>
                </c:pt>
                <c:pt idx="5">
                  <c:v>0.77600000000000025</c:v>
                </c:pt>
                <c:pt idx="6">
                  <c:v>0.78100000000000003</c:v>
                </c:pt>
                <c:pt idx="7" formatCode="0%">
                  <c:v>1</c:v>
                </c:pt>
                <c:pt idx="8">
                  <c:v>0.91100000000000003</c:v>
                </c:pt>
                <c:pt idx="9" formatCode="0%">
                  <c:v>1</c:v>
                </c:pt>
                <c:pt idx="10">
                  <c:v>0.77300000000000024</c:v>
                </c:pt>
                <c:pt idx="11" formatCode="0%">
                  <c:v>1</c:v>
                </c:pt>
                <c:pt idx="12" formatCode="0%">
                  <c:v>0.8</c:v>
                </c:pt>
                <c:pt idx="13">
                  <c:v>0.83300000000000018</c:v>
                </c:pt>
                <c:pt idx="14" formatCode="0%">
                  <c:v>0.75000000000000022</c:v>
                </c:pt>
                <c:pt idx="15">
                  <c:v>0.66700000000000026</c:v>
                </c:pt>
                <c:pt idx="16" formatCode="0%">
                  <c:v>1</c:v>
                </c:pt>
                <c:pt idx="17">
                  <c:v>0.85700000000000021</c:v>
                </c:pt>
                <c:pt idx="18">
                  <c:v>0.70600000000000018</c:v>
                </c:pt>
                <c:pt idx="19">
                  <c:v>0.3570000000000001</c:v>
                </c:pt>
              </c:numCache>
            </c:numRef>
          </c:val>
        </c:ser>
        <c:axId val="66471040"/>
        <c:axId val="66472576"/>
      </c:barChart>
      <c:catAx>
        <c:axId val="66471040"/>
        <c:scaling>
          <c:orientation val="minMax"/>
        </c:scaling>
        <c:axPos val="b"/>
        <c:tickLblPos val="nextTo"/>
        <c:crossAx val="66472576"/>
        <c:crosses val="autoZero"/>
        <c:auto val="1"/>
        <c:lblAlgn val="ctr"/>
        <c:lblOffset val="100"/>
      </c:catAx>
      <c:valAx>
        <c:axId val="66472576"/>
        <c:scaling>
          <c:orientation val="minMax"/>
        </c:scaling>
        <c:axPos val="l"/>
        <c:majorGridlines/>
        <c:numFmt formatCode="0.00%" sourceLinked="1"/>
        <c:tickLblPos val="nextTo"/>
        <c:crossAx val="6647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Лист1!$A$2:$N$2</c:f>
              <c:numCache>
                <c:formatCode>0%</c:formatCode>
                <c:ptCount val="14"/>
                <c:pt idx="0">
                  <c:v>0.7200000000000002</c:v>
                </c:pt>
                <c:pt idx="1">
                  <c:v>0.69000000000000017</c:v>
                </c:pt>
                <c:pt idx="2">
                  <c:v>0.79</c:v>
                </c:pt>
                <c:pt idx="3">
                  <c:v>0.59</c:v>
                </c:pt>
                <c:pt idx="4">
                  <c:v>0.76000000000000023</c:v>
                </c:pt>
                <c:pt idx="5">
                  <c:v>0.71000000000000019</c:v>
                </c:pt>
                <c:pt idx="6">
                  <c:v>0.8</c:v>
                </c:pt>
                <c:pt idx="7">
                  <c:v>0.70000000000000018</c:v>
                </c:pt>
                <c:pt idx="8">
                  <c:v>0.55000000000000004</c:v>
                </c:pt>
                <c:pt idx="9">
                  <c:v>0.19</c:v>
                </c:pt>
              </c:numCache>
            </c:numRef>
          </c:val>
        </c:ser>
        <c:gapWidth val="75"/>
        <c:overlap val="-25"/>
        <c:axId val="69414912"/>
        <c:axId val="69984256"/>
      </c:barChart>
      <c:catAx>
        <c:axId val="69414912"/>
        <c:scaling>
          <c:orientation val="minMax"/>
        </c:scaling>
        <c:axPos val="b"/>
        <c:majorTickMark val="none"/>
        <c:tickLblPos val="nextTo"/>
        <c:crossAx val="69984256"/>
        <c:crosses val="autoZero"/>
        <c:auto val="1"/>
        <c:lblAlgn val="ctr"/>
        <c:lblOffset val="100"/>
      </c:catAx>
      <c:valAx>
        <c:axId val="699842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9414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Татьяна</cp:lastModifiedBy>
  <cp:revision>3</cp:revision>
  <dcterms:created xsi:type="dcterms:W3CDTF">2016-02-08T07:19:00Z</dcterms:created>
  <dcterms:modified xsi:type="dcterms:W3CDTF">2016-02-14T11:20:00Z</dcterms:modified>
</cp:coreProperties>
</file>