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FB" w:rsidRPr="00C17FFB" w:rsidRDefault="00C17FFB" w:rsidP="007D4CB4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7FFB">
        <w:rPr>
          <w:rFonts w:ascii="Times New Roman" w:hAnsi="Times New Roman" w:cs="Times New Roman"/>
          <w:b/>
          <w:sz w:val="28"/>
          <w:szCs w:val="28"/>
        </w:rPr>
        <w:t>Результаты анкетирования учащихся 11 классов «О порядке проведения итогового сочинения и ГИА и проверки организации работы в общеобразовательном учреждении  по подготовке и проведению ЕГЭ»</w:t>
      </w:r>
    </w:p>
    <w:p w:rsidR="00C17FFB" w:rsidRPr="00C17FFB" w:rsidRDefault="00C17FFB" w:rsidP="007D4CB4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3942" w:rsidRPr="007D4CB4" w:rsidRDefault="007D4CB4" w:rsidP="007D4CB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4CB4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образованием № 991 от 10 ноября 2015 года «О проведении анкетирования учащихся 11 классов»,  11 ноября силами специалистов управления образования и «Центра развития образования» было проведено анкетирование  с целью выявления информированности учащихся 11 классов о порядке проведения итогового сочинения и ГИА и проверки организации работы в общеобразовательном учреждении  по подготовке и проведению ЕГЭ.</w:t>
      </w:r>
      <w:proofErr w:type="gramEnd"/>
      <w:r w:rsidRPr="007D4CB4">
        <w:rPr>
          <w:rFonts w:ascii="Times New Roman" w:hAnsi="Times New Roman" w:cs="Times New Roman"/>
          <w:sz w:val="28"/>
          <w:szCs w:val="28"/>
        </w:rPr>
        <w:t xml:space="preserve"> Учащимся было предложено ответить на 9 вопросов.</w:t>
      </w:r>
    </w:p>
    <w:p w:rsidR="00F27974" w:rsidRPr="00F27974" w:rsidRDefault="007D4CB4" w:rsidP="00F27974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974">
        <w:rPr>
          <w:rFonts w:ascii="Times New Roman" w:hAnsi="Times New Roman" w:cs="Times New Roman"/>
          <w:b/>
          <w:sz w:val="28"/>
          <w:szCs w:val="28"/>
        </w:rPr>
        <w:t>Вопрос № 1.</w:t>
      </w:r>
      <w:r w:rsidRPr="00F27974">
        <w:rPr>
          <w:rFonts w:ascii="Times New Roman" w:hAnsi="Times New Roman" w:cs="Times New Roman"/>
          <w:sz w:val="28"/>
          <w:szCs w:val="28"/>
        </w:rPr>
        <w:t xml:space="preserve"> Проводятся ли у Вас в ОУ консультации по подготовке к ЕГЭ? По каким предметам?</w:t>
      </w:r>
      <w:r w:rsidR="009D3E57" w:rsidRPr="00F2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B4" w:rsidRDefault="009D3E57" w:rsidP="00F27974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974">
        <w:rPr>
          <w:rFonts w:ascii="Times New Roman" w:hAnsi="Times New Roman" w:cs="Times New Roman"/>
          <w:sz w:val="28"/>
          <w:szCs w:val="28"/>
        </w:rPr>
        <w:t>Результат</w:t>
      </w:r>
      <w:r w:rsidR="004F3F33">
        <w:rPr>
          <w:rFonts w:ascii="Times New Roman" w:hAnsi="Times New Roman" w:cs="Times New Roman"/>
          <w:sz w:val="28"/>
          <w:szCs w:val="28"/>
        </w:rPr>
        <w:t>ы ответов по школам представлены</w:t>
      </w:r>
      <w:r w:rsidRPr="00F27974">
        <w:rPr>
          <w:rFonts w:ascii="Times New Roman" w:hAnsi="Times New Roman" w:cs="Times New Roman"/>
          <w:sz w:val="28"/>
          <w:szCs w:val="28"/>
        </w:rPr>
        <w:t xml:space="preserve"> на диаграмме.</w:t>
      </w:r>
    </w:p>
    <w:p w:rsidR="00F27974" w:rsidRPr="00F27974" w:rsidRDefault="00F27974" w:rsidP="00F2797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1BF" w:rsidRDefault="009D3E57" w:rsidP="00F2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6138" cy="4319081"/>
            <wp:effectExtent l="19050" t="0" r="25062" b="526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61BF" w:rsidRPr="007C299E" w:rsidRDefault="00E961BF" w:rsidP="00880F5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299E">
        <w:rPr>
          <w:rFonts w:ascii="Times New Roman" w:hAnsi="Times New Roman" w:cs="Times New Roman"/>
          <w:sz w:val="28"/>
          <w:szCs w:val="28"/>
        </w:rPr>
        <w:t xml:space="preserve">В ОУ № 3 дети отвечали просто «да», без перечисления предметов. </w:t>
      </w:r>
      <w:r w:rsidR="007C299E">
        <w:rPr>
          <w:rFonts w:ascii="Times New Roman" w:hAnsi="Times New Roman" w:cs="Times New Roman"/>
          <w:sz w:val="28"/>
          <w:szCs w:val="28"/>
        </w:rPr>
        <w:t xml:space="preserve"> </w:t>
      </w:r>
      <w:r w:rsidRPr="007C299E">
        <w:rPr>
          <w:rFonts w:ascii="Times New Roman" w:hAnsi="Times New Roman" w:cs="Times New Roman"/>
          <w:sz w:val="28"/>
          <w:szCs w:val="28"/>
        </w:rPr>
        <w:t xml:space="preserve">Можно сделать вывод, что консультации не ведутся. Но они </w:t>
      </w:r>
      <w:r w:rsidR="007C299E">
        <w:rPr>
          <w:rFonts w:ascii="Times New Roman" w:hAnsi="Times New Roman" w:cs="Times New Roman"/>
          <w:sz w:val="28"/>
          <w:szCs w:val="28"/>
        </w:rPr>
        <w:t xml:space="preserve">дальше </w:t>
      </w:r>
      <w:r w:rsidRPr="007C299E">
        <w:rPr>
          <w:rFonts w:ascii="Times New Roman" w:hAnsi="Times New Roman" w:cs="Times New Roman"/>
          <w:sz w:val="28"/>
          <w:szCs w:val="28"/>
        </w:rPr>
        <w:t xml:space="preserve">сами и </w:t>
      </w:r>
      <w:r w:rsidR="004F3F33">
        <w:rPr>
          <w:rFonts w:ascii="Times New Roman" w:hAnsi="Times New Roman" w:cs="Times New Roman"/>
          <w:sz w:val="28"/>
          <w:szCs w:val="28"/>
        </w:rPr>
        <w:t>дают разъяснения</w:t>
      </w:r>
      <w:r w:rsidRPr="007C299E">
        <w:rPr>
          <w:rFonts w:ascii="Times New Roman" w:hAnsi="Times New Roman" w:cs="Times New Roman"/>
          <w:sz w:val="28"/>
          <w:szCs w:val="28"/>
        </w:rPr>
        <w:t xml:space="preserve"> – «по математике регулярно, по русскому языку не всегда».</w:t>
      </w:r>
      <w:r w:rsidR="007C299E" w:rsidRPr="007C299E">
        <w:rPr>
          <w:rFonts w:ascii="Times New Roman" w:hAnsi="Times New Roman" w:cs="Times New Roman"/>
          <w:sz w:val="28"/>
          <w:szCs w:val="28"/>
        </w:rPr>
        <w:t xml:space="preserve"> </w:t>
      </w:r>
      <w:r w:rsidR="007C299E">
        <w:rPr>
          <w:rFonts w:ascii="Times New Roman" w:hAnsi="Times New Roman" w:cs="Times New Roman"/>
          <w:sz w:val="28"/>
          <w:szCs w:val="28"/>
        </w:rPr>
        <w:t>Ребята МБОУ СОШ № 7 ответили просто «проводятся».</w:t>
      </w:r>
    </w:p>
    <w:p w:rsidR="00E961BF" w:rsidRDefault="00E961BF" w:rsidP="00880F5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C299E">
        <w:rPr>
          <w:rFonts w:ascii="Times New Roman" w:hAnsi="Times New Roman" w:cs="Times New Roman"/>
          <w:sz w:val="28"/>
          <w:szCs w:val="28"/>
        </w:rPr>
        <w:t>Учащиеся СОШ № 6 отвечали аналогично, т.е. просто «да». Часть детей</w:t>
      </w:r>
      <w:r w:rsidR="007C299E">
        <w:rPr>
          <w:rFonts w:ascii="Times New Roman" w:hAnsi="Times New Roman" w:cs="Times New Roman"/>
          <w:sz w:val="28"/>
          <w:szCs w:val="28"/>
        </w:rPr>
        <w:t xml:space="preserve"> этой школы, а также и</w:t>
      </w:r>
      <w:r w:rsidR="004F3F33">
        <w:rPr>
          <w:rFonts w:ascii="Times New Roman" w:hAnsi="Times New Roman" w:cs="Times New Roman"/>
          <w:sz w:val="28"/>
          <w:szCs w:val="28"/>
        </w:rPr>
        <w:t xml:space="preserve">з </w:t>
      </w:r>
      <w:r w:rsidR="007C299E">
        <w:rPr>
          <w:rFonts w:ascii="Times New Roman" w:hAnsi="Times New Roman" w:cs="Times New Roman"/>
          <w:sz w:val="28"/>
          <w:szCs w:val="28"/>
        </w:rPr>
        <w:t xml:space="preserve"> СОШ № 7,10,</w:t>
      </w:r>
      <w:r w:rsidR="00F27974">
        <w:rPr>
          <w:rFonts w:ascii="Times New Roman" w:hAnsi="Times New Roman" w:cs="Times New Roman"/>
          <w:sz w:val="28"/>
          <w:szCs w:val="28"/>
        </w:rPr>
        <w:t>16</w:t>
      </w:r>
      <w:r w:rsidR="007C299E">
        <w:rPr>
          <w:rFonts w:ascii="Times New Roman" w:hAnsi="Times New Roman" w:cs="Times New Roman"/>
          <w:sz w:val="28"/>
          <w:szCs w:val="28"/>
        </w:rPr>
        <w:t xml:space="preserve"> </w:t>
      </w:r>
      <w:r w:rsidRPr="007C299E">
        <w:rPr>
          <w:rFonts w:ascii="Times New Roman" w:hAnsi="Times New Roman" w:cs="Times New Roman"/>
          <w:sz w:val="28"/>
          <w:szCs w:val="28"/>
        </w:rPr>
        <w:t xml:space="preserve"> дали ответ «Да, по всем», что </w:t>
      </w:r>
      <w:r w:rsidR="007C299E" w:rsidRPr="007C299E">
        <w:rPr>
          <w:rFonts w:ascii="Times New Roman" w:hAnsi="Times New Roman" w:cs="Times New Roman"/>
          <w:sz w:val="28"/>
          <w:szCs w:val="28"/>
        </w:rPr>
        <w:t>дает право предполагать, что они не знают точно предметов, по которым идут консультации.</w:t>
      </w:r>
      <w:r w:rsidR="00F27974">
        <w:rPr>
          <w:rFonts w:ascii="Times New Roman" w:hAnsi="Times New Roman" w:cs="Times New Roman"/>
          <w:sz w:val="28"/>
          <w:szCs w:val="28"/>
        </w:rPr>
        <w:t xml:space="preserve"> А дети из СОШ № 20 ответили «По всем </w:t>
      </w:r>
      <w:r w:rsidR="004F3F33">
        <w:rPr>
          <w:rFonts w:ascii="Times New Roman" w:hAnsi="Times New Roman" w:cs="Times New Roman"/>
          <w:sz w:val="28"/>
          <w:szCs w:val="28"/>
        </w:rPr>
        <w:t>основным и выбранным предметам» без пер</w:t>
      </w:r>
      <w:r w:rsidR="00C17FFB">
        <w:rPr>
          <w:rFonts w:ascii="Times New Roman" w:hAnsi="Times New Roman" w:cs="Times New Roman"/>
          <w:sz w:val="28"/>
          <w:szCs w:val="28"/>
        </w:rPr>
        <w:t>е</w:t>
      </w:r>
      <w:r w:rsidR="004F3F33">
        <w:rPr>
          <w:rFonts w:ascii="Times New Roman" w:hAnsi="Times New Roman" w:cs="Times New Roman"/>
          <w:sz w:val="28"/>
          <w:szCs w:val="28"/>
        </w:rPr>
        <w:t>числения.</w:t>
      </w:r>
    </w:p>
    <w:p w:rsidR="00F27974" w:rsidRDefault="00F27974" w:rsidP="007C299E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27974">
        <w:rPr>
          <w:rFonts w:ascii="Times New Roman" w:hAnsi="Times New Roman" w:cs="Times New Roman"/>
          <w:b/>
          <w:sz w:val="28"/>
          <w:szCs w:val="28"/>
        </w:rPr>
        <w:lastRenderedPageBreak/>
        <w:t>Вопрос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74">
        <w:rPr>
          <w:rFonts w:ascii="Times New Roman" w:hAnsi="Times New Roman" w:cs="Times New Roman"/>
          <w:i/>
          <w:sz w:val="28"/>
          <w:szCs w:val="28"/>
        </w:rPr>
        <w:t>Знакомы ли Вы с новыми демоверсиями ЕГЭ-2016 по предмету?</w:t>
      </w:r>
    </w:p>
    <w:p w:rsidR="00F27974" w:rsidRDefault="00F27974" w:rsidP="007C299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 следующей диаграмме.</w:t>
      </w:r>
    </w:p>
    <w:p w:rsidR="00F27974" w:rsidRDefault="00F27974" w:rsidP="007C299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F27974" w:rsidRDefault="00F27974" w:rsidP="007C299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27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210" cy="3608961"/>
            <wp:effectExtent l="19050" t="0" r="1824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7D3D" w:rsidRDefault="00267D3D" w:rsidP="007C299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ответ</w:t>
      </w:r>
      <w:r w:rsidR="004F3F33">
        <w:rPr>
          <w:rFonts w:ascii="Times New Roman" w:hAnsi="Times New Roman" w:cs="Times New Roman"/>
          <w:sz w:val="28"/>
          <w:szCs w:val="28"/>
        </w:rPr>
        <w:t>ы:</w:t>
      </w:r>
    </w:p>
    <w:p w:rsidR="00267D3D" w:rsidRDefault="00267D3D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B47">
        <w:rPr>
          <w:rFonts w:ascii="Times New Roman" w:hAnsi="Times New Roman" w:cs="Times New Roman"/>
          <w:sz w:val="28"/>
          <w:szCs w:val="28"/>
        </w:rPr>
        <w:t xml:space="preserve"> «нет» - учащиеся ОУ №3,</w:t>
      </w:r>
      <w:r>
        <w:rPr>
          <w:rFonts w:ascii="Times New Roman" w:hAnsi="Times New Roman" w:cs="Times New Roman"/>
          <w:sz w:val="28"/>
          <w:szCs w:val="28"/>
        </w:rPr>
        <w:t>4,5,</w:t>
      </w:r>
      <w:r w:rsidR="007B0B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0B47" w:rsidRDefault="00267D3D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«да, но только не полностью знаком» (ОУ № 23);</w:t>
      </w:r>
    </w:p>
    <w:p w:rsidR="00267D3D" w:rsidRDefault="00267D3D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не со всеми» (ОУ № 2).</w:t>
      </w:r>
    </w:p>
    <w:p w:rsidR="00267D3D" w:rsidRDefault="00267D3D" w:rsidP="00267D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3</w:t>
      </w:r>
      <w:r w:rsidRPr="00F279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89C">
        <w:rPr>
          <w:rFonts w:ascii="Times New Roman" w:hAnsi="Times New Roman" w:cs="Times New Roman"/>
          <w:i/>
          <w:sz w:val="28"/>
          <w:szCs w:val="28"/>
        </w:rPr>
        <w:t>Посещаете ли вы межшкольный факул</w:t>
      </w:r>
      <w:r w:rsidRPr="00267D3D">
        <w:rPr>
          <w:rFonts w:ascii="Times New Roman" w:hAnsi="Times New Roman" w:cs="Times New Roman"/>
          <w:i/>
          <w:sz w:val="28"/>
          <w:szCs w:val="28"/>
        </w:rPr>
        <w:t>ьтатив по какому-либо предмету в районе? В какие дни?</w:t>
      </w:r>
    </w:p>
    <w:p w:rsidR="00267D3D" w:rsidRDefault="00267D3D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результаты ответов детей.</w:t>
      </w:r>
    </w:p>
    <w:p w:rsidR="00267D3D" w:rsidRDefault="00267D3D" w:rsidP="00267D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D3D" w:rsidRDefault="00267D3D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D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210" cy="3608961"/>
            <wp:effectExtent l="19050" t="0" r="1824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7FFB" w:rsidRDefault="00C17FFB" w:rsidP="00267D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8AB" w:rsidRDefault="00B718A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допускали ответы:</w:t>
      </w:r>
    </w:p>
    <w:p w:rsidR="00B718AB" w:rsidRDefault="00B718A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«нет» (ОУ № 4, 5,10</w:t>
      </w:r>
      <w:r w:rsidR="00694B7A">
        <w:rPr>
          <w:rFonts w:ascii="Times New Roman" w:hAnsi="Times New Roman" w:cs="Times New Roman"/>
          <w:sz w:val="28"/>
          <w:szCs w:val="28"/>
        </w:rPr>
        <w:t>,23,1,16);</w:t>
      </w:r>
    </w:p>
    <w:p w:rsidR="00B718AB" w:rsidRDefault="00B718A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«да, в четверг и пятницу» (ОУ № 4</w:t>
      </w:r>
      <w:r w:rsidR="00694B7A">
        <w:rPr>
          <w:rFonts w:ascii="Times New Roman" w:hAnsi="Times New Roman" w:cs="Times New Roman"/>
          <w:sz w:val="28"/>
          <w:szCs w:val="28"/>
        </w:rPr>
        <w:t>);</w:t>
      </w:r>
    </w:p>
    <w:p w:rsidR="00B718AB" w:rsidRDefault="00B718A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«да, в будни» (ОУ № 4</w:t>
      </w:r>
      <w:r w:rsidR="00694B7A">
        <w:rPr>
          <w:rFonts w:ascii="Times New Roman" w:hAnsi="Times New Roman" w:cs="Times New Roman"/>
          <w:sz w:val="28"/>
          <w:szCs w:val="28"/>
        </w:rPr>
        <w:t>);</w:t>
      </w:r>
    </w:p>
    <w:p w:rsidR="00B718AB" w:rsidRDefault="00B718A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«да, в четверг; иногда в субботу (ОУ № 5</w:t>
      </w:r>
      <w:r w:rsidR="00694B7A">
        <w:rPr>
          <w:rFonts w:ascii="Times New Roman" w:hAnsi="Times New Roman" w:cs="Times New Roman"/>
          <w:sz w:val="28"/>
          <w:szCs w:val="28"/>
        </w:rPr>
        <w:t>);</w:t>
      </w:r>
    </w:p>
    <w:p w:rsidR="00B718AB" w:rsidRDefault="00B718A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«да; среда, суббота, воскресенье (ОУ № 10</w:t>
      </w:r>
      <w:r w:rsidR="00694B7A">
        <w:rPr>
          <w:rFonts w:ascii="Times New Roman" w:hAnsi="Times New Roman" w:cs="Times New Roman"/>
          <w:sz w:val="28"/>
          <w:szCs w:val="28"/>
        </w:rPr>
        <w:t>);</w:t>
      </w:r>
    </w:p>
    <w:p w:rsidR="00B718AB" w:rsidRDefault="00B718A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посещал, но планирую посетить в назначенные дни (ОУ № 20</w:t>
      </w:r>
      <w:r w:rsidR="00694B7A">
        <w:rPr>
          <w:rFonts w:ascii="Times New Roman" w:hAnsi="Times New Roman" w:cs="Times New Roman"/>
          <w:sz w:val="28"/>
          <w:szCs w:val="28"/>
        </w:rPr>
        <w:t>);</w:t>
      </w:r>
    </w:p>
    <w:p w:rsidR="00B718AB" w:rsidRDefault="00B718A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их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(ОУ № 20</w:t>
      </w:r>
      <w:r w:rsidR="00694B7A">
        <w:rPr>
          <w:rFonts w:ascii="Times New Roman" w:hAnsi="Times New Roman" w:cs="Times New Roman"/>
          <w:sz w:val="28"/>
          <w:szCs w:val="28"/>
        </w:rPr>
        <w:t>);</w:t>
      </w:r>
    </w:p>
    <w:p w:rsidR="00694B7A" w:rsidRDefault="00694B7A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«нет, так как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в какие дни 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факультативы (ОУ № 23);</w:t>
      </w:r>
    </w:p>
    <w:p w:rsidR="00694B7A" w:rsidRDefault="00694B7A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«да, физика вторник, четверг в 14.30 (ОУ  № 16).</w:t>
      </w:r>
    </w:p>
    <w:p w:rsidR="00F138FB" w:rsidRDefault="00F138FB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учащиеся знают, что МШФ проводятся по субботам.</w:t>
      </w:r>
    </w:p>
    <w:p w:rsidR="00F138FB" w:rsidRDefault="00302181" w:rsidP="00267D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4</w:t>
      </w:r>
      <w:r w:rsidRPr="00F279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181">
        <w:rPr>
          <w:rFonts w:ascii="Times New Roman" w:hAnsi="Times New Roman" w:cs="Times New Roman"/>
          <w:i/>
          <w:sz w:val="28"/>
          <w:szCs w:val="28"/>
        </w:rPr>
        <w:t>Знаете ли Вы направления тем сочи</w:t>
      </w:r>
      <w:r>
        <w:rPr>
          <w:rFonts w:ascii="Times New Roman" w:hAnsi="Times New Roman" w:cs="Times New Roman"/>
          <w:i/>
          <w:sz w:val="28"/>
          <w:szCs w:val="28"/>
        </w:rPr>
        <w:t>нений, которое будете писать? К</w:t>
      </w:r>
      <w:r w:rsidRPr="00302181">
        <w:rPr>
          <w:rFonts w:ascii="Times New Roman" w:hAnsi="Times New Roman" w:cs="Times New Roman"/>
          <w:i/>
          <w:sz w:val="28"/>
          <w:szCs w:val="28"/>
        </w:rPr>
        <w:t>огда оно будет проводиться?</w:t>
      </w:r>
    </w:p>
    <w:p w:rsidR="00302181" w:rsidRDefault="00302181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получились результаты.</w:t>
      </w:r>
    </w:p>
    <w:p w:rsidR="00302181" w:rsidRDefault="00302181" w:rsidP="00267D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2181" w:rsidRDefault="00302181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210" cy="3608961"/>
            <wp:effectExtent l="19050" t="0" r="1824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2181" w:rsidRDefault="00302181" w:rsidP="00267D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отвечали:</w:t>
      </w:r>
    </w:p>
    <w:p w:rsidR="00302181" w:rsidRPr="00211CA5" w:rsidRDefault="00302181" w:rsidP="003021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11CA5">
        <w:rPr>
          <w:rFonts w:ascii="Times New Roman" w:hAnsi="Times New Roman" w:cs="Times New Roman"/>
          <w:sz w:val="28"/>
          <w:szCs w:val="28"/>
        </w:rPr>
        <w:t>- «Да,20 декабря</w:t>
      </w:r>
      <w:r w:rsidR="00914FCA" w:rsidRPr="00211CA5">
        <w:rPr>
          <w:rFonts w:ascii="Times New Roman" w:hAnsi="Times New Roman" w:cs="Times New Roman"/>
          <w:sz w:val="28"/>
          <w:szCs w:val="28"/>
        </w:rPr>
        <w:t>»</w:t>
      </w:r>
      <w:r w:rsidRPr="00211CA5">
        <w:rPr>
          <w:rFonts w:ascii="Times New Roman" w:hAnsi="Times New Roman" w:cs="Times New Roman"/>
          <w:sz w:val="28"/>
          <w:szCs w:val="28"/>
        </w:rPr>
        <w:t xml:space="preserve"> (ОУ №33</w:t>
      </w:r>
      <w:r w:rsidR="00D84536" w:rsidRPr="00211CA5">
        <w:rPr>
          <w:rFonts w:ascii="Times New Roman" w:hAnsi="Times New Roman" w:cs="Times New Roman"/>
          <w:sz w:val="28"/>
          <w:szCs w:val="28"/>
        </w:rPr>
        <w:t>);</w:t>
      </w:r>
    </w:p>
    <w:p w:rsidR="00302181" w:rsidRPr="00211CA5" w:rsidRDefault="00302181" w:rsidP="003021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11CA5">
        <w:rPr>
          <w:rFonts w:ascii="Times New Roman" w:hAnsi="Times New Roman" w:cs="Times New Roman"/>
          <w:sz w:val="28"/>
          <w:szCs w:val="28"/>
        </w:rPr>
        <w:t>- «Да, в декабре</w:t>
      </w:r>
      <w:r w:rsidR="00914FCA" w:rsidRPr="00211CA5">
        <w:rPr>
          <w:rFonts w:ascii="Times New Roman" w:hAnsi="Times New Roman" w:cs="Times New Roman"/>
          <w:sz w:val="28"/>
          <w:szCs w:val="28"/>
        </w:rPr>
        <w:t>»</w:t>
      </w:r>
      <w:r w:rsidRPr="00211CA5">
        <w:rPr>
          <w:rFonts w:ascii="Times New Roman" w:hAnsi="Times New Roman" w:cs="Times New Roman"/>
          <w:sz w:val="28"/>
          <w:szCs w:val="28"/>
        </w:rPr>
        <w:t xml:space="preserve"> (ОУ № 33</w:t>
      </w:r>
      <w:r w:rsidR="00914FCA" w:rsidRPr="00211CA5">
        <w:rPr>
          <w:rFonts w:ascii="Times New Roman" w:hAnsi="Times New Roman" w:cs="Times New Roman"/>
          <w:sz w:val="28"/>
          <w:szCs w:val="28"/>
        </w:rPr>
        <w:t>,4</w:t>
      </w:r>
      <w:r w:rsidR="00D84536" w:rsidRPr="00211CA5">
        <w:rPr>
          <w:rFonts w:ascii="Times New Roman" w:hAnsi="Times New Roman" w:cs="Times New Roman"/>
          <w:sz w:val="28"/>
          <w:szCs w:val="28"/>
        </w:rPr>
        <w:t>,10,6);</w:t>
      </w:r>
    </w:p>
    <w:p w:rsidR="00302181" w:rsidRPr="00211CA5" w:rsidRDefault="00302181" w:rsidP="003021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11CA5">
        <w:rPr>
          <w:rFonts w:ascii="Times New Roman" w:hAnsi="Times New Roman" w:cs="Times New Roman"/>
          <w:sz w:val="28"/>
          <w:szCs w:val="28"/>
        </w:rPr>
        <w:t>- «Да» (ОУ № 26</w:t>
      </w:r>
      <w:r w:rsidR="00914FCA" w:rsidRPr="00211CA5">
        <w:rPr>
          <w:rFonts w:ascii="Times New Roman" w:hAnsi="Times New Roman" w:cs="Times New Roman"/>
          <w:sz w:val="28"/>
          <w:szCs w:val="28"/>
        </w:rPr>
        <w:t>,23,3,4,5</w:t>
      </w:r>
      <w:r w:rsidR="00D84536" w:rsidRPr="00211CA5">
        <w:rPr>
          <w:rFonts w:ascii="Times New Roman" w:hAnsi="Times New Roman" w:cs="Times New Roman"/>
          <w:sz w:val="28"/>
          <w:szCs w:val="28"/>
        </w:rPr>
        <w:t>,10,6,7);</w:t>
      </w:r>
    </w:p>
    <w:p w:rsidR="00914FCA" w:rsidRPr="00211CA5" w:rsidRDefault="00914FCA" w:rsidP="003021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11CA5">
        <w:rPr>
          <w:rFonts w:ascii="Times New Roman" w:hAnsi="Times New Roman" w:cs="Times New Roman"/>
          <w:sz w:val="28"/>
          <w:szCs w:val="28"/>
        </w:rPr>
        <w:t>- «Да, в начале декабря» (ОУ № 3,4</w:t>
      </w:r>
      <w:r w:rsidR="00D84536" w:rsidRPr="00211CA5">
        <w:rPr>
          <w:rFonts w:ascii="Times New Roman" w:hAnsi="Times New Roman" w:cs="Times New Roman"/>
          <w:sz w:val="28"/>
          <w:szCs w:val="28"/>
        </w:rPr>
        <w:t>,6);</w:t>
      </w:r>
    </w:p>
    <w:p w:rsidR="00914FCA" w:rsidRPr="00211CA5" w:rsidRDefault="00914FCA" w:rsidP="003021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11CA5">
        <w:rPr>
          <w:rFonts w:ascii="Times New Roman" w:hAnsi="Times New Roman" w:cs="Times New Roman"/>
          <w:sz w:val="28"/>
          <w:szCs w:val="28"/>
        </w:rPr>
        <w:t>- «Да, 3 декабря» (ОУ  № 4</w:t>
      </w:r>
      <w:r w:rsidR="00D84536" w:rsidRPr="00211CA5">
        <w:rPr>
          <w:rFonts w:ascii="Times New Roman" w:hAnsi="Times New Roman" w:cs="Times New Roman"/>
          <w:sz w:val="28"/>
          <w:szCs w:val="28"/>
        </w:rPr>
        <w:t>,10);</w:t>
      </w:r>
    </w:p>
    <w:p w:rsidR="00914FCA" w:rsidRPr="00211CA5" w:rsidRDefault="00914FCA" w:rsidP="003021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11CA5">
        <w:rPr>
          <w:rFonts w:ascii="Times New Roman" w:hAnsi="Times New Roman" w:cs="Times New Roman"/>
          <w:sz w:val="28"/>
          <w:szCs w:val="28"/>
        </w:rPr>
        <w:t>- «Знаю, зимой» (ОУ № 4</w:t>
      </w:r>
      <w:r w:rsidR="00D84536" w:rsidRPr="00211CA5">
        <w:rPr>
          <w:rFonts w:ascii="Times New Roman" w:hAnsi="Times New Roman" w:cs="Times New Roman"/>
          <w:sz w:val="28"/>
          <w:szCs w:val="28"/>
        </w:rPr>
        <w:t>);</w:t>
      </w:r>
    </w:p>
    <w:p w:rsidR="00914FCA" w:rsidRPr="00211CA5" w:rsidRDefault="00914FCA" w:rsidP="003021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11CA5">
        <w:rPr>
          <w:rFonts w:ascii="Times New Roman" w:hAnsi="Times New Roman" w:cs="Times New Roman"/>
          <w:sz w:val="28"/>
          <w:szCs w:val="28"/>
        </w:rPr>
        <w:t xml:space="preserve"> - «Да, 1 декабря (ОУ № 5</w:t>
      </w:r>
      <w:r w:rsidR="00D84536" w:rsidRPr="00211CA5">
        <w:rPr>
          <w:rFonts w:ascii="Times New Roman" w:hAnsi="Times New Roman" w:cs="Times New Roman"/>
          <w:sz w:val="28"/>
          <w:szCs w:val="28"/>
        </w:rPr>
        <w:t>);</w:t>
      </w:r>
    </w:p>
    <w:p w:rsidR="00914FCA" w:rsidRPr="00211CA5" w:rsidRDefault="00914FCA" w:rsidP="00302181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11CA5">
        <w:rPr>
          <w:rFonts w:ascii="Times New Roman" w:hAnsi="Times New Roman" w:cs="Times New Roman"/>
          <w:sz w:val="28"/>
          <w:szCs w:val="28"/>
        </w:rPr>
        <w:t>- «Нет» (ОУ № 5</w:t>
      </w:r>
      <w:r w:rsidR="00D84536" w:rsidRPr="00211CA5">
        <w:rPr>
          <w:rFonts w:ascii="Times New Roman" w:hAnsi="Times New Roman" w:cs="Times New Roman"/>
          <w:sz w:val="28"/>
          <w:szCs w:val="28"/>
        </w:rPr>
        <w:t>,10).</w:t>
      </w:r>
    </w:p>
    <w:p w:rsidR="00211CA5" w:rsidRDefault="00211CA5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5. </w:t>
      </w:r>
      <w:r w:rsidRPr="00211CA5">
        <w:rPr>
          <w:rFonts w:ascii="Times New Roman" w:hAnsi="Times New Roman" w:cs="Times New Roman"/>
          <w:i/>
          <w:sz w:val="28"/>
          <w:szCs w:val="28"/>
        </w:rPr>
        <w:t>Когда (на каких уроках или после) готовитесь к сочинению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к сочинению?</w:t>
      </w:r>
    </w:p>
    <w:p w:rsidR="00211CA5" w:rsidRDefault="00211CA5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на диаграмме.</w:t>
      </w:r>
    </w:p>
    <w:p w:rsidR="00211CA5" w:rsidRDefault="00211CA5" w:rsidP="00211CA5">
      <w:pPr>
        <w:pStyle w:val="a"/>
        <w:numPr>
          <w:ilvl w:val="0"/>
          <w:numId w:val="0"/>
        </w:numPr>
      </w:pPr>
      <w:r w:rsidRPr="00211CA5">
        <w:rPr>
          <w:noProof/>
          <w:lang w:eastAsia="ru-RU"/>
        </w:rPr>
        <w:lastRenderedPageBreak/>
        <w:drawing>
          <wp:inline distT="0" distB="0" distL="0" distR="0">
            <wp:extent cx="5487210" cy="3608961"/>
            <wp:effectExtent l="19050" t="0" r="1824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02C8" w:rsidRDefault="007B02C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02C8">
        <w:rPr>
          <w:rFonts w:ascii="Times New Roman" w:hAnsi="Times New Roman" w:cs="Times New Roman"/>
          <w:sz w:val="28"/>
          <w:szCs w:val="28"/>
        </w:rPr>
        <w:t>Респонденты</w:t>
      </w:r>
      <w:proofErr w:type="gramEnd"/>
      <w:r w:rsidRPr="007B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отвечая на поставленный вопрос,  отмечали, что готовились к сочинению:</w:t>
      </w:r>
    </w:p>
    <w:p w:rsidR="007B02C8" w:rsidRDefault="007B02C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 уроков» (ОУ № 2</w:t>
      </w:r>
      <w:r w:rsidR="00D73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3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39F9">
        <w:rPr>
          <w:rFonts w:ascii="Times New Roman" w:hAnsi="Times New Roman" w:cs="Times New Roman"/>
          <w:sz w:val="28"/>
          <w:szCs w:val="28"/>
        </w:rPr>
        <w:t>,4, 23,10,5,16,3);</w:t>
      </w:r>
    </w:p>
    <w:p w:rsidR="007B02C8" w:rsidRDefault="007B02C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консультациях» (ОУ № 2</w:t>
      </w:r>
      <w:r w:rsidR="00D739F9">
        <w:rPr>
          <w:rFonts w:ascii="Times New Roman" w:hAnsi="Times New Roman" w:cs="Times New Roman"/>
          <w:sz w:val="28"/>
          <w:szCs w:val="28"/>
        </w:rPr>
        <w:t>,4);</w:t>
      </w:r>
    </w:p>
    <w:p w:rsidR="007B02C8" w:rsidRDefault="007B02C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 репетитором после уроков» (ОУ № 6</w:t>
      </w:r>
      <w:r w:rsidR="00D739F9">
        <w:rPr>
          <w:rFonts w:ascii="Times New Roman" w:hAnsi="Times New Roman" w:cs="Times New Roman"/>
          <w:sz w:val="28"/>
          <w:szCs w:val="28"/>
        </w:rPr>
        <w:t>);</w:t>
      </w:r>
    </w:p>
    <w:p w:rsidR="007B02C8" w:rsidRDefault="007B02C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«Наша учительница не готовит нас к нему, готовимся с репетитором» (ОУ № 6</w:t>
      </w:r>
      <w:r w:rsidR="00D739F9">
        <w:rPr>
          <w:rFonts w:ascii="Times New Roman" w:hAnsi="Times New Roman" w:cs="Times New Roman"/>
          <w:sz w:val="28"/>
          <w:szCs w:val="28"/>
        </w:rPr>
        <w:t>);</w:t>
      </w:r>
    </w:p>
    <w:p w:rsidR="007B02C8" w:rsidRDefault="007B02C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«Задают на дом» (ОУ № 6</w:t>
      </w:r>
      <w:r w:rsidR="00D739F9">
        <w:rPr>
          <w:rFonts w:ascii="Times New Roman" w:hAnsi="Times New Roman" w:cs="Times New Roman"/>
          <w:sz w:val="28"/>
          <w:szCs w:val="28"/>
        </w:rPr>
        <w:t>);</w:t>
      </w:r>
    </w:p>
    <w:p w:rsidR="007B02C8" w:rsidRDefault="007B02C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готовимся» (ОУ № 6</w:t>
      </w:r>
      <w:r w:rsidR="00D739F9">
        <w:rPr>
          <w:rFonts w:ascii="Times New Roman" w:hAnsi="Times New Roman" w:cs="Times New Roman"/>
          <w:sz w:val="28"/>
          <w:szCs w:val="28"/>
        </w:rPr>
        <w:t>,4);</w:t>
      </w:r>
    </w:p>
    <w:p w:rsidR="007B02C8" w:rsidRDefault="007B02C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«Дома» (ОУ№ 6</w:t>
      </w:r>
      <w:r w:rsidR="00D739F9">
        <w:rPr>
          <w:rFonts w:ascii="Times New Roman" w:hAnsi="Times New Roman" w:cs="Times New Roman"/>
          <w:sz w:val="28"/>
          <w:szCs w:val="28"/>
        </w:rPr>
        <w:t>);</w:t>
      </w:r>
    </w:p>
    <w:p w:rsidR="00D739F9" w:rsidRDefault="00D739F9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уроках литературы иногда» (ОУ № 3);</w:t>
      </w:r>
    </w:p>
    <w:p w:rsidR="00D739F9" w:rsidRDefault="00D739F9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 уроков с репетитором» (ОУ № 3).</w:t>
      </w:r>
    </w:p>
    <w:p w:rsidR="00D739F9" w:rsidRDefault="00D739F9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6. </w:t>
      </w:r>
      <w:r w:rsidR="00D46565" w:rsidRPr="00D46565">
        <w:rPr>
          <w:rFonts w:ascii="Times New Roman" w:hAnsi="Times New Roman" w:cs="Times New Roman"/>
          <w:i/>
          <w:sz w:val="28"/>
          <w:szCs w:val="28"/>
        </w:rPr>
        <w:t>Разбираете ли Вы  на уроках задания, в которых сделали ошибки на пробных ЕГЭ?</w:t>
      </w:r>
    </w:p>
    <w:p w:rsidR="00D46565" w:rsidRDefault="00D46565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D465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63" cy="2957209"/>
            <wp:effectExtent l="19050" t="0" r="21887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6565" w:rsidRDefault="00D46565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 все учащиеся подтверждают, что разбирают ошибки. Однако есть и такие ответы:</w:t>
      </w:r>
    </w:p>
    <w:p w:rsidR="00D46565" w:rsidRDefault="00D46565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«Иногда» (ОУ № 2</w:t>
      </w:r>
      <w:r w:rsidR="00BC4C5A">
        <w:rPr>
          <w:rFonts w:ascii="Times New Roman" w:hAnsi="Times New Roman" w:cs="Times New Roman"/>
          <w:sz w:val="28"/>
          <w:szCs w:val="28"/>
        </w:rPr>
        <w:t>);</w:t>
      </w:r>
    </w:p>
    <w:p w:rsidR="00D46565" w:rsidRDefault="00D46565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«Нет» (ОУ № 6</w:t>
      </w:r>
      <w:r w:rsidR="00BC4C5A">
        <w:rPr>
          <w:rFonts w:ascii="Times New Roman" w:hAnsi="Times New Roman" w:cs="Times New Roman"/>
          <w:sz w:val="28"/>
          <w:szCs w:val="28"/>
        </w:rPr>
        <w:t>,4,30);</w:t>
      </w:r>
    </w:p>
    <w:p w:rsidR="00D46565" w:rsidRDefault="00D46565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математике да» (ОУ № 6</w:t>
      </w:r>
      <w:r w:rsidR="00BC4C5A">
        <w:rPr>
          <w:rFonts w:ascii="Times New Roman" w:hAnsi="Times New Roman" w:cs="Times New Roman"/>
          <w:sz w:val="28"/>
          <w:szCs w:val="28"/>
        </w:rPr>
        <w:t>).</w:t>
      </w:r>
    </w:p>
    <w:p w:rsidR="00BC4C5A" w:rsidRDefault="00BC4C5A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7. </w:t>
      </w:r>
      <w:r w:rsidRPr="00BC4C5A">
        <w:rPr>
          <w:rFonts w:ascii="Times New Roman" w:hAnsi="Times New Roman" w:cs="Times New Roman"/>
          <w:i/>
          <w:sz w:val="28"/>
          <w:szCs w:val="28"/>
        </w:rPr>
        <w:t xml:space="preserve">Имеются ли в Вашей 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школе информационные стенды </w:t>
      </w:r>
      <w:r w:rsidRPr="00BC4C5A">
        <w:rPr>
          <w:rFonts w:ascii="Times New Roman" w:hAnsi="Times New Roman" w:cs="Times New Roman"/>
          <w:i/>
          <w:sz w:val="28"/>
          <w:szCs w:val="28"/>
        </w:rPr>
        <w:t xml:space="preserve"> по итоговой аттестации? Знаете ли Вы, куда обратиться с возникшими вопросами?</w:t>
      </w:r>
    </w:p>
    <w:p w:rsidR="00BC4C5A" w:rsidRDefault="00BC4C5A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BC4C5A">
        <w:rPr>
          <w:rFonts w:ascii="Times New Roman" w:hAnsi="Times New Roman" w:cs="Times New Roman"/>
          <w:sz w:val="28"/>
          <w:szCs w:val="28"/>
        </w:rPr>
        <w:t>Посмотрим, как выглядят результаты на диаграмме.</w:t>
      </w:r>
    </w:p>
    <w:p w:rsidR="00BC4C5A" w:rsidRDefault="00BC4C5A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BC4C5A" w:rsidRDefault="00BC4C5A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BC4C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210" cy="3608961"/>
            <wp:effectExtent l="19050" t="0" r="1824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74CB" w:rsidRDefault="009C74CB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большинства школ 100 % положительных ответов. Дети утверждают, что информационные стенды имеются во всех школах, но не все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обратиться с возникшими вопросами (ОУ № 5</w:t>
      </w:r>
      <w:r w:rsidR="004D66D2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), не упоминают о телефонах горячей линии (ОУ № 5</w:t>
      </w:r>
      <w:r w:rsidR="004D66D2">
        <w:rPr>
          <w:rFonts w:ascii="Times New Roman" w:hAnsi="Times New Roman" w:cs="Times New Roman"/>
          <w:sz w:val="28"/>
          <w:szCs w:val="28"/>
        </w:rPr>
        <w:t>,7,2,1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1202" w:rsidRDefault="00AA1202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8. </w:t>
      </w:r>
      <w:r w:rsidRPr="00AA1202">
        <w:rPr>
          <w:rFonts w:ascii="Times New Roman" w:hAnsi="Times New Roman" w:cs="Times New Roman"/>
          <w:i/>
          <w:sz w:val="28"/>
          <w:szCs w:val="28"/>
        </w:rPr>
        <w:t>В каких предметных каб</w:t>
      </w:r>
      <w:r>
        <w:rPr>
          <w:rFonts w:ascii="Times New Roman" w:hAnsi="Times New Roman" w:cs="Times New Roman"/>
          <w:i/>
          <w:sz w:val="28"/>
          <w:szCs w:val="28"/>
        </w:rPr>
        <w:t xml:space="preserve">инетах размещена  информация по </w:t>
      </w:r>
      <w:r w:rsidRPr="00AA1202">
        <w:rPr>
          <w:rFonts w:ascii="Times New Roman" w:hAnsi="Times New Roman" w:cs="Times New Roman"/>
          <w:i/>
          <w:sz w:val="28"/>
          <w:szCs w:val="28"/>
        </w:rPr>
        <w:t>ЕГЭ?</w:t>
      </w:r>
    </w:p>
    <w:p w:rsidR="00AA1202" w:rsidRDefault="00AA1202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AA12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05095" cy="2415838"/>
            <wp:effectExtent l="19050" t="0" r="19455" b="3512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1202" w:rsidRDefault="00AA1202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отмечают, что информация размещена практически во всех </w:t>
      </w:r>
      <w:r w:rsidR="004F3F33">
        <w:rPr>
          <w:rFonts w:ascii="Times New Roman" w:hAnsi="Times New Roman" w:cs="Times New Roman"/>
          <w:sz w:val="28"/>
          <w:szCs w:val="28"/>
        </w:rPr>
        <w:t>предметных кабинетах</w:t>
      </w:r>
      <w:r>
        <w:rPr>
          <w:rFonts w:ascii="Times New Roman" w:hAnsi="Times New Roman" w:cs="Times New Roman"/>
          <w:sz w:val="28"/>
          <w:szCs w:val="28"/>
        </w:rPr>
        <w:t>; некоторые перечисляют эти кабинеты, называют номер кабинета. Но вот,</w:t>
      </w:r>
    </w:p>
    <w:p w:rsidR="00AA1202" w:rsidRDefault="00AA1202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СОШ № 5 даю ответы «не знаю», вообще не отвечают на этот вопрос, «не помню»;</w:t>
      </w:r>
    </w:p>
    <w:p w:rsidR="00F92F4F" w:rsidRDefault="00AA1202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СОШ № 6</w:t>
      </w:r>
      <w:r w:rsidR="00F9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«не знаю», «не обращал внимания»</w:t>
      </w:r>
      <w:r w:rsidR="00F92F4F">
        <w:rPr>
          <w:rFonts w:ascii="Times New Roman" w:hAnsi="Times New Roman" w:cs="Times New Roman"/>
          <w:sz w:val="28"/>
          <w:szCs w:val="28"/>
        </w:rPr>
        <w:t>;</w:t>
      </w:r>
    </w:p>
    <w:p w:rsidR="00F92F4F" w:rsidRDefault="00F92F4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СОШ № 4 – «не знаю».</w:t>
      </w:r>
    </w:p>
    <w:p w:rsidR="00AA1202" w:rsidRDefault="00AA1202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F4F">
        <w:rPr>
          <w:rFonts w:ascii="Times New Roman" w:hAnsi="Times New Roman" w:cs="Times New Roman"/>
          <w:b/>
          <w:sz w:val="28"/>
          <w:szCs w:val="28"/>
        </w:rPr>
        <w:t xml:space="preserve">Вопрос № 9. </w:t>
      </w:r>
      <w:r w:rsidR="00F92F4F" w:rsidRPr="00F92F4F">
        <w:rPr>
          <w:rFonts w:ascii="Times New Roman" w:hAnsi="Times New Roman" w:cs="Times New Roman"/>
          <w:i/>
          <w:sz w:val="28"/>
          <w:szCs w:val="28"/>
        </w:rPr>
        <w:t xml:space="preserve">Когда проводятся дополнительные </w:t>
      </w:r>
      <w:proofErr w:type="gramStart"/>
      <w:r w:rsidR="00F92F4F" w:rsidRPr="00F92F4F">
        <w:rPr>
          <w:rFonts w:ascii="Times New Roman" w:hAnsi="Times New Roman" w:cs="Times New Roman"/>
          <w:i/>
          <w:sz w:val="28"/>
          <w:szCs w:val="28"/>
        </w:rPr>
        <w:t>занятия</w:t>
      </w:r>
      <w:proofErr w:type="gramEnd"/>
      <w:r w:rsidR="00F92F4F" w:rsidRPr="00F92F4F">
        <w:rPr>
          <w:rFonts w:ascii="Times New Roman" w:hAnsi="Times New Roman" w:cs="Times New Roman"/>
          <w:i/>
          <w:sz w:val="28"/>
          <w:szCs w:val="28"/>
        </w:rPr>
        <w:t xml:space="preserve"> и по </w:t>
      </w:r>
      <w:proofErr w:type="gramStart"/>
      <w:r w:rsidR="00F92F4F" w:rsidRPr="00F92F4F">
        <w:rPr>
          <w:rFonts w:ascii="Times New Roman" w:hAnsi="Times New Roman" w:cs="Times New Roman"/>
          <w:i/>
          <w:sz w:val="28"/>
          <w:szCs w:val="28"/>
        </w:rPr>
        <w:t>каким</w:t>
      </w:r>
      <w:proofErr w:type="gramEnd"/>
      <w:r w:rsidR="00F92F4F" w:rsidRPr="00F92F4F">
        <w:rPr>
          <w:rFonts w:ascii="Times New Roman" w:hAnsi="Times New Roman" w:cs="Times New Roman"/>
          <w:i/>
          <w:sz w:val="28"/>
          <w:szCs w:val="28"/>
        </w:rPr>
        <w:t xml:space="preserve"> предметам?</w:t>
      </w:r>
    </w:p>
    <w:p w:rsidR="00F92F4F" w:rsidRDefault="00F92F4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 результативность на диаграмме. </w:t>
      </w:r>
    </w:p>
    <w:p w:rsidR="00F92F4F" w:rsidRDefault="00F92F4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F92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210" cy="3608961"/>
            <wp:effectExtent l="19050" t="0" r="1824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2F4F" w:rsidRDefault="00F92F4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как видите разные. Большая часть детей давала конкретный ответ: называли предмет, день и иногда время проведения занятия. Но таких было не очень много. Были и такие ответы:</w:t>
      </w:r>
    </w:p>
    <w:p w:rsidR="00F92F4F" w:rsidRDefault="00F92F4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 уроков, история и обществознание» (ОУ № 2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F92F4F" w:rsidRDefault="00F92F4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 уроков и на выходных» (ОУ № 2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 уроков» (ОУ № 3,4,6</w:t>
      </w:r>
      <w:r w:rsidR="00E550CF">
        <w:rPr>
          <w:rFonts w:ascii="Times New Roman" w:hAnsi="Times New Roman" w:cs="Times New Roman"/>
          <w:sz w:val="28"/>
          <w:szCs w:val="28"/>
        </w:rPr>
        <w:t>,7,16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знаю» (ОУ № 3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«Не знаю. Хожу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дополнительные вне школы» (ОУ № 3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«Днем, вроде по всем» (ОУ № 4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«….Но информатика не проводится» (ОУ № 4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течение недели восьмым уроком» (ОУ № 4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«Каждый день русский и математика» (ОУ № 5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550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будни» (ОУ № 6</w:t>
      </w:r>
      <w:r w:rsidR="00E550CF">
        <w:rPr>
          <w:rFonts w:ascii="Times New Roman" w:hAnsi="Times New Roman" w:cs="Times New Roman"/>
          <w:sz w:val="28"/>
          <w:szCs w:val="28"/>
        </w:rPr>
        <w:t>,10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AB3288" w:rsidRDefault="00AB3288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«Каждый  день» (ОУ № 6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E550CF" w:rsidRDefault="001D6E73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</w:t>
      </w:r>
      <w:r w:rsidR="00E550CF">
        <w:rPr>
          <w:rFonts w:ascii="Times New Roman" w:hAnsi="Times New Roman" w:cs="Times New Roman"/>
          <w:sz w:val="28"/>
          <w:szCs w:val="28"/>
        </w:rPr>
        <w:t>тветили на вопрос (ОУ № 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50CF" w:rsidRDefault="00E550C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всем предметам» (ОУ № 16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E550CF" w:rsidRDefault="00E550C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«Почти каждый день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>» (ОУ № 16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E550CF" w:rsidRDefault="00E550C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«Всегда» (ОУ № 16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E550CF" w:rsidRDefault="00E550C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 уроков, вечером по всем предметам (ОУ № 20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E550CF" w:rsidRDefault="00E550C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«Частные занятия» (ОУ № 23</w:t>
      </w:r>
      <w:r w:rsidR="001D6E73">
        <w:rPr>
          <w:rFonts w:ascii="Times New Roman" w:hAnsi="Times New Roman" w:cs="Times New Roman"/>
          <w:sz w:val="28"/>
          <w:szCs w:val="28"/>
        </w:rPr>
        <w:t>);</w:t>
      </w:r>
    </w:p>
    <w:p w:rsidR="00E550CF" w:rsidRDefault="00E550CF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математике» (ОУ № 23</w:t>
      </w:r>
      <w:r w:rsidR="001D6E73">
        <w:rPr>
          <w:rFonts w:ascii="Times New Roman" w:hAnsi="Times New Roman" w:cs="Times New Roman"/>
          <w:sz w:val="28"/>
          <w:szCs w:val="28"/>
        </w:rPr>
        <w:t>).</w:t>
      </w:r>
    </w:p>
    <w:p w:rsidR="001D6E73" w:rsidRDefault="001D6E73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 положительную результативность ответов респондентов в разрезе каждой общеобразовательной организации, то </w:t>
      </w:r>
    </w:p>
    <w:p w:rsidR="001D6E73" w:rsidRDefault="001D6E73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1D6E73" w:rsidRDefault="001D6E73" w:rsidP="00211CA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1700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D6E73" w:rsidTr="001D6E73">
        <w:tc>
          <w:tcPr>
            <w:tcW w:w="1700" w:type="dxa"/>
          </w:tcPr>
          <w:p w:rsidR="001D6E73" w:rsidRDefault="001D6E73" w:rsidP="00211CA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ОУ/№ вопроса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1,%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2,%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3,%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4,%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5,%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6,%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7,%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8,%</w:t>
            </w:r>
          </w:p>
        </w:tc>
        <w:tc>
          <w:tcPr>
            <w:tcW w:w="958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9,%</w:t>
            </w:r>
          </w:p>
        </w:tc>
      </w:tr>
      <w:tr w:rsidR="001D6E73" w:rsidTr="001D6E73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E73" w:rsidTr="001D6E73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1D6E73" w:rsidTr="00422A02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6E73" w:rsidTr="00422A02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58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1D6E73" w:rsidTr="00422A02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58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1D6E73" w:rsidTr="001D6E73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958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D6E73" w:rsidTr="00422A02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1D6E73" w:rsidTr="00422A02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D6E73" w:rsidTr="00422A02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E73" w:rsidTr="00422A02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1D6E73" w:rsidTr="00422A02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1D6E73" w:rsidRDefault="00422A02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1D6E73" w:rsidTr="005C6E8D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E73" w:rsidTr="005C6E8D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57" w:type="dxa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6E73" w:rsidTr="005C6E8D">
        <w:tc>
          <w:tcPr>
            <w:tcW w:w="1700" w:type="dxa"/>
          </w:tcPr>
          <w:p w:rsidR="001D6E73" w:rsidRDefault="001D6E73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33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D6E73" w:rsidRDefault="005C6E8D" w:rsidP="001D6E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C6E8D" w:rsidRDefault="005C6E8D" w:rsidP="005C6E8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5C6E8D" w:rsidRDefault="004F3F33" w:rsidP="005C6E8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6E8D">
        <w:rPr>
          <w:rFonts w:ascii="Times New Roman" w:hAnsi="Times New Roman" w:cs="Times New Roman"/>
          <w:sz w:val="28"/>
          <w:szCs w:val="28"/>
        </w:rPr>
        <w:t>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E8D">
        <w:rPr>
          <w:rFonts w:ascii="Times New Roman" w:hAnsi="Times New Roman" w:cs="Times New Roman"/>
          <w:sz w:val="28"/>
          <w:szCs w:val="28"/>
        </w:rPr>
        <w:t xml:space="preserve"> каким школам и по каким вопросам нужно еще раз проинформировать своих </w:t>
      </w:r>
      <w:proofErr w:type="gramStart"/>
      <w:r w:rsidR="005C6E8D">
        <w:rPr>
          <w:rFonts w:ascii="Times New Roman" w:hAnsi="Times New Roman" w:cs="Times New Roman"/>
          <w:sz w:val="28"/>
          <w:szCs w:val="28"/>
        </w:rPr>
        <w:t>вып</w:t>
      </w:r>
      <w:r w:rsidR="00C17FFB">
        <w:rPr>
          <w:rFonts w:ascii="Times New Roman" w:hAnsi="Times New Roman" w:cs="Times New Roman"/>
          <w:sz w:val="28"/>
          <w:szCs w:val="28"/>
        </w:rPr>
        <w:t>ускников</w:t>
      </w:r>
      <w:proofErr w:type="gramEnd"/>
      <w:r w:rsidR="00C17FFB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C17FF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C17FFB">
        <w:rPr>
          <w:rFonts w:ascii="Times New Roman" w:hAnsi="Times New Roman" w:cs="Times New Roman"/>
          <w:sz w:val="28"/>
          <w:szCs w:val="28"/>
        </w:rPr>
        <w:t xml:space="preserve"> направлениях, </w:t>
      </w:r>
      <w:r w:rsidR="005C6E8D">
        <w:rPr>
          <w:rFonts w:ascii="Times New Roman" w:hAnsi="Times New Roman" w:cs="Times New Roman"/>
          <w:sz w:val="28"/>
          <w:szCs w:val="28"/>
        </w:rPr>
        <w:t>в плане организации работы по подготовке к государственной итоговой аттестации</w:t>
      </w:r>
      <w:r w:rsidR="00C17FFB">
        <w:rPr>
          <w:rFonts w:ascii="Times New Roman" w:hAnsi="Times New Roman" w:cs="Times New Roman"/>
          <w:sz w:val="28"/>
          <w:szCs w:val="28"/>
        </w:rPr>
        <w:t>,</w:t>
      </w:r>
      <w:r w:rsidR="005C6E8D">
        <w:rPr>
          <w:rFonts w:ascii="Times New Roman" w:hAnsi="Times New Roman" w:cs="Times New Roman"/>
          <w:sz w:val="28"/>
          <w:szCs w:val="28"/>
        </w:rPr>
        <w:t xml:space="preserve"> еще поработать.</w:t>
      </w:r>
    </w:p>
    <w:p w:rsidR="00880F53" w:rsidRDefault="00880F53" w:rsidP="005C6E8D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 w:rsidRPr="00880F53">
        <w:rPr>
          <w:rFonts w:ascii="Times New Roman" w:hAnsi="Times New Roman" w:cs="Times New Roman"/>
          <w:b/>
          <w:sz w:val="28"/>
          <w:szCs w:val="28"/>
        </w:rPr>
        <w:t>Рекомендуем:</w:t>
      </w:r>
    </w:p>
    <w:p w:rsidR="00880F53" w:rsidRPr="00880F53" w:rsidRDefault="00880F53" w:rsidP="00880F53">
      <w:pPr>
        <w:pStyle w:val="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0F53">
        <w:rPr>
          <w:rFonts w:ascii="Times New Roman" w:hAnsi="Times New Roman" w:cs="Times New Roman"/>
          <w:sz w:val="28"/>
          <w:szCs w:val="28"/>
        </w:rPr>
        <w:t>сем школам провести информационно-разъяснительную работу с учащимися о порядке проведения итогового сочинения (изложения);</w:t>
      </w:r>
    </w:p>
    <w:p w:rsidR="00880F53" w:rsidRDefault="00880F53" w:rsidP="00880F53">
      <w:pPr>
        <w:pStyle w:val="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F53">
        <w:rPr>
          <w:rFonts w:ascii="Times New Roman" w:hAnsi="Times New Roman" w:cs="Times New Roman"/>
          <w:sz w:val="28"/>
          <w:szCs w:val="28"/>
        </w:rPr>
        <w:t xml:space="preserve">довести до сведения всех учащихся и их родителей под роспись </w:t>
      </w:r>
      <w:r>
        <w:rPr>
          <w:rFonts w:ascii="Times New Roman" w:hAnsi="Times New Roman" w:cs="Times New Roman"/>
          <w:sz w:val="28"/>
          <w:szCs w:val="28"/>
        </w:rPr>
        <w:t>график работы межшкольных факул</w:t>
      </w:r>
      <w:r w:rsidRPr="00880F53">
        <w:rPr>
          <w:rFonts w:ascii="Times New Roman" w:hAnsi="Times New Roman" w:cs="Times New Roman"/>
          <w:sz w:val="28"/>
          <w:szCs w:val="28"/>
        </w:rPr>
        <w:t>ьтативов (</w:t>
      </w:r>
      <w:proofErr w:type="spellStart"/>
      <w:r w:rsidRPr="00880F53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880F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школьных консультаций по </w:t>
      </w:r>
      <w:r w:rsidRPr="00880F53">
        <w:rPr>
          <w:rFonts w:ascii="Times New Roman" w:hAnsi="Times New Roman" w:cs="Times New Roman"/>
          <w:sz w:val="28"/>
          <w:szCs w:val="28"/>
        </w:rPr>
        <w:t>предметам и оформить ознакомление через «Лист ознакомления»;</w:t>
      </w:r>
    </w:p>
    <w:p w:rsidR="00880F53" w:rsidRPr="00880F53" w:rsidRDefault="00880F53" w:rsidP="00880F53">
      <w:pPr>
        <w:pStyle w:val="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предметных кабинетах оформить стенды и уголки по подготовке к ЕГЭ, наполнив их новыми демоверсиями и информацией об изменениях в ЕГЭ-2016.</w:t>
      </w:r>
    </w:p>
    <w:p w:rsidR="00C17FFB" w:rsidRDefault="00C17FFB" w:rsidP="005C6E8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C17FFB" w:rsidRDefault="00DF47B9" w:rsidP="005C6E8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139065</wp:posOffset>
            </wp:positionV>
            <wp:extent cx="965200" cy="437515"/>
            <wp:effectExtent l="19050" t="0" r="6350" b="0"/>
            <wp:wrapNone/>
            <wp:docPr id="10" name="Рисунок 9" descr="Игн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натова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FFB" w:rsidRPr="00F92F4F" w:rsidRDefault="00C17FFB" w:rsidP="005C6E8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МБУ «ЦРО»                                                 Т.Н. Игнатова</w:t>
      </w:r>
    </w:p>
    <w:sectPr w:rsidR="00C17FFB" w:rsidRPr="00F92F4F" w:rsidSect="00C17F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8E6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80296A"/>
    <w:multiLevelType w:val="hybridMultilevel"/>
    <w:tmpl w:val="990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4450"/>
    <w:multiLevelType w:val="hybridMultilevel"/>
    <w:tmpl w:val="957A0832"/>
    <w:lvl w:ilvl="0" w:tplc="B1BC0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4CB4"/>
    <w:rsid w:val="001D24F1"/>
    <w:rsid w:val="001D6E73"/>
    <w:rsid w:val="00211CA5"/>
    <w:rsid w:val="00267D3D"/>
    <w:rsid w:val="002E5890"/>
    <w:rsid w:val="00302181"/>
    <w:rsid w:val="00357167"/>
    <w:rsid w:val="00422A02"/>
    <w:rsid w:val="004D66D2"/>
    <w:rsid w:val="004F3F33"/>
    <w:rsid w:val="005C6E8D"/>
    <w:rsid w:val="00694B7A"/>
    <w:rsid w:val="006E54A8"/>
    <w:rsid w:val="00771F4C"/>
    <w:rsid w:val="007B02C8"/>
    <w:rsid w:val="007B0B47"/>
    <w:rsid w:val="007C299E"/>
    <w:rsid w:val="007C3942"/>
    <w:rsid w:val="007D4CB4"/>
    <w:rsid w:val="00816854"/>
    <w:rsid w:val="00880F53"/>
    <w:rsid w:val="008D07D0"/>
    <w:rsid w:val="00914FCA"/>
    <w:rsid w:val="009C74CB"/>
    <w:rsid w:val="009D3E57"/>
    <w:rsid w:val="00AA1202"/>
    <w:rsid w:val="00AB3288"/>
    <w:rsid w:val="00B718AB"/>
    <w:rsid w:val="00BC4C5A"/>
    <w:rsid w:val="00C17FFB"/>
    <w:rsid w:val="00CD1AA7"/>
    <w:rsid w:val="00CD789C"/>
    <w:rsid w:val="00D46565"/>
    <w:rsid w:val="00D739F9"/>
    <w:rsid w:val="00D84536"/>
    <w:rsid w:val="00DF47B9"/>
    <w:rsid w:val="00E550CF"/>
    <w:rsid w:val="00E961BF"/>
    <w:rsid w:val="00F138FB"/>
    <w:rsid w:val="00F27974"/>
    <w:rsid w:val="00F9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9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CB4"/>
    <w:pPr>
      <w:ind w:left="720"/>
      <w:contextualSpacing/>
    </w:pPr>
  </w:style>
  <w:style w:type="paragraph" w:styleId="a5">
    <w:name w:val="No Spacing"/>
    <w:uiPriority w:val="1"/>
    <w:qFormat/>
    <w:rsid w:val="007D4CB4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9D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3E57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302181"/>
    <w:pPr>
      <w:numPr>
        <w:numId w:val="2"/>
      </w:numPr>
      <w:contextualSpacing/>
    </w:pPr>
  </w:style>
  <w:style w:type="table" w:styleId="a8">
    <w:name w:val="Table Grid"/>
    <w:basedOn w:val="a2"/>
    <w:uiPriority w:val="59"/>
    <w:rsid w:val="001D6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85.7</c:v>
                </c:pt>
                <c:pt idx="3">
                  <c:v>100</c:v>
                </c:pt>
                <c:pt idx="4">
                  <c:v>100</c:v>
                </c:pt>
                <c:pt idx="5">
                  <c:v>88.4</c:v>
                </c:pt>
                <c:pt idx="6">
                  <c:v>78.599999999999994</c:v>
                </c:pt>
                <c:pt idx="7">
                  <c:v>72.7</c:v>
                </c:pt>
                <c:pt idx="8">
                  <c:v>100</c:v>
                </c:pt>
                <c:pt idx="9">
                  <c:v>95.8</c:v>
                </c:pt>
                <c:pt idx="10">
                  <c:v>93.3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93.8</c:v>
                </c:pt>
              </c:numCache>
            </c:numRef>
          </c:val>
        </c:ser>
        <c:shape val="cylinder"/>
        <c:axId val="81858560"/>
        <c:axId val="82074240"/>
        <c:axId val="0"/>
      </c:bar3DChart>
      <c:catAx>
        <c:axId val="81858560"/>
        <c:scaling>
          <c:orientation val="minMax"/>
        </c:scaling>
        <c:axPos val="b"/>
        <c:tickLblPos val="nextTo"/>
        <c:crossAx val="82074240"/>
        <c:crosses val="autoZero"/>
        <c:auto val="1"/>
        <c:lblAlgn val="ctr"/>
        <c:lblOffset val="100"/>
      </c:catAx>
      <c:valAx>
        <c:axId val="82074240"/>
        <c:scaling>
          <c:orientation val="minMax"/>
        </c:scaling>
        <c:axPos val="l"/>
        <c:majorGridlines/>
        <c:numFmt formatCode="General" sourceLinked="1"/>
        <c:tickLblPos val="nextTo"/>
        <c:crossAx val="8185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5084165519456"/>
          <c:y val="0.10255283473498182"/>
          <c:w val="0.18627649910564106"/>
          <c:h val="0.48614786339964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95.7</c:v>
                </c:pt>
                <c:pt idx="2">
                  <c:v>85.7</c:v>
                </c:pt>
                <c:pt idx="3">
                  <c:v>93.8</c:v>
                </c:pt>
                <c:pt idx="4">
                  <c:v>95.5</c:v>
                </c:pt>
                <c:pt idx="5">
                  <c:v>93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95.5</c:v>
                </c:pt>
              </c:numCache>
            </c:numRef>
          </c:val>
        </c:ser>
        <c:shape val="cylinder"/>
        <c:axId val="96137984"/>
        <c:axId val="96139520"/>
        <c:axId val="0"/>
      </c:bar3DChart>
      <c:catAx>
        <c:axId val="96137984"/>
        <c:scaling>
          <c:orientation val="minMax"/>
        </c:scaling>
        <c:axPos val="b"/>
        <c:tickLblPos val="nextTo"/>
        <c:crossAx val="96139520"/>
        <c:crosses val="autoZero"/>
        <c:auto val="1"/>
        <c:lblAlgn val="ctr"/>
        <c:lblOffset val="100"/>
      </c:catAx>
      <c:valAx>
        <c:axId val="96139520"/>
        <c:scaling>
          <c:orientation val="minMax"/>
        </c:scaling>
        <c:axPos val="l"/>
        <c:majorGridlines/>
        <c:numFmt formatCode="General" sourceLinked="1"/>
        <c:tickLblPos val="nextTo"/>
        <c:crossAx val="9613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79541697876109"/>
          <c:y val="0.15103349689841553"/>
          <c:w val="0.20731774435459921"/>
          <c:h val="0.6381094170870823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44.4</c:v>
                </c:pt>
                <c:pt idx="1">
                  <c:v>82.6</c:v>
                </c:pt>
                <c:pt idx="2">
                  <c:v>42.9</c:v>
                </c:pt>
                <c:pt idx="3">
                  <c:v>72.900000000000006</c:v>
                </c:pt>
                <c:pt idx="4">
                  <c:v>9.1</c:v>
                </c:pt>
                <c:pt idx="5">
                  <c:v>55.8</c:v>
                </c:pt>
                <c:pt idx="6">
                  <c:v>78.599999999999994</c:v>
                </c:pt>
                <c:pt idx="7">
                  <c:v>9.1</c:v>
                </c:pt>
                <c:pt idx="8">
                  <c:v>50</c:v>
                </c:pt>
                <c:pt idx="9">
                  <c:v>45.8</c:v>
                </c:pt>
                <c:pt idx="10">
                  <c:v>13.3</c:v>
                </c:pt>
                <c:pt idx="11">
                  <c:v>25</c:v>
                </c:pt>
                <c:pt idx="12">
                  <c:v>100</c:v>
                </c:pt>
                <c:pt idx="13">
                  <c:v>71.400000000000006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95.5</c:v>
                </c:pt>
              </c:numCache>
            </c:numRef>
          </c:val>
        </c:ser>
        <c:shape val="cylinder"/>
        <c:axId val="102297600"/>
        <c:axId val="102299136"/>
        <c:axId val="0"/>
      </c:bar3DChart>
      <c:catAx>
        <c:axId val="102297600"/>
        <c:scaling>
          <c:orientation val="minMax"/>
        </c:scaling>
        <c:axPos val="b"/>
        <c:tickLblPos val="nextTo"/>
        <c:crossAx val="102299136"/>
        <c:crosses val="autoZero"/>
        <c:auto val="1"/>
        <c:lblAlgn val="ctr"/>
        <c:lblOffset val="100"/>
      </c:catAx>
      <c:valAx>
        <c:axId val="102299136"/>
        <c:scaling>
          <c:orientation val="minMax"/>
        </c:scaling>
        <c:axPos val="l"/>
        <c:majorGridlines/>
        <c:numFmt formatCode="General" sourceLinked="1"/>
        <c:tickLblPos val="nextTo"/>
        <c:crossAx val="10229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79541697876176"/>
          <c:y val="0.15103349689841564"/>
          <c:w val="0.20731774435459921"/>
          <c:h val="0.6381094170870829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95.7</c:v>
                </c:pt>
                <c:pt idx="2">
                  <c:v>57.1</c:v>
                </c:pt>
                <c:pt idx="3">
                  <c:v>31.3</c:v>
                </c:pt>
                <c:pt idx="4">
                  <c:v>45.5</c:v>
                </c:pt>
                <c:pt idx="5">
                  <c:v>46.5</c:v>
                </c:pt>
                <c:pt idx="6">
                  <c:v>92.9</c:v>
                </c:pt>
                <c:pt idx="7">
                  <c:v>27.3</c:v>
                </c:pt>
                <c:pt idx="8">
                  <c:v>100</c:v>
                </c:pt>
                <c:pt idx="9">
                  <c:v>62.5</c:v>
                </c:pt>
                <c:pt idx="10">
                  <c:v>100</c:v>
                </c:pt>
                <c:pt idx="11">
                  <c:v>25</c:v>
                </c:pt>
                <c:pt idx="12">
                  <c:v>0</c:v>
                </c:pt>
                <c:pt idx="13">
                  <c:v>100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50.8</c:v>
                </c:pt>
              </c:numCache>
            </c:numRef>
          </c:val>
        </c:ser>
        <c:shape val="cylinder"/>
        <c:axId val="88879872"/>
        <c:axId val="88881408"/>
        <c:axId val="0"/>
      </c:bar3DChart>
      <c:catAx>
        <c:axId val="88879872"/>
        <c:scaling>
          <c:orientation val="minMax"/>
        </c:scaling>
        <c:axPos val="b"/>
        <c:tickLblPos val="nextTo"/>
        <c:crossAx val="88881408"/>
        <c:crosses val="autoZero"/>
        <c:auto val="1"/>
        <c:lblAlgn val="ctr"/>
        <c:lblOffset val="100"/>
      </c:catAx>
      <c:valAx>
        <c:axId val="88881408"/>
        <c:scaling>
          <c:orientation val="minMax"/>
        </c:scaling>
        <c:axPos val="l"/>
        <c:majorGridlines/>
        <c:numFmt formatCode="General" sourceLinked="1"/>
        <c:tickLblPos val="nextTo"/>
        <c:crossAx val="8887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79541697876242"/>
          <c:y val="0.15103349689841575"/>
          <c:w val="0.20731774435459921"/>
          <c:h val="0.63810941708708335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65.2</c:v>
                </c:pt>
                <c:pt idx="2">
                  <c:v>57.1</c:v>
                </c:pt>
                <c:pt idx="3">
                  <c:v>83.3</c:v>
                </c:pt>
                <c:pt idx="4">
                  <c:v>77.3</c:v>
                </c:pt>
                <c:pt idx="5">
                  <c:v>67.400000000000006</c:v>
                </c:pt>
                <c:pt idx="6">
                  <c:v>85.7</c:v>
                </c:pt>
                <c:pt idx="7">
                  <c:v>81.8</c:v>
                </c:pt>
                <c:pt idx="8">
                  <c:v>100</c:v>
                </c:pt>
                <c:pt idx="9">
                  <c:v>79.2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59.9</c:v>
                </c:pt>
              </c:numCache>
            </c:numRef>
          </c:val>
        </c:ser>
        <c:shape val="cylinder"/>
        <c:axId val="95968256"/>
        <c:axId val="95986432"/>
        <c:axId val="0"/>
      </c:bar3DChart>
      <c:catAx>
        <c:axId val="95968256"/>
        <c:scaling>
          <c:orientation val="minMax"/>
        </c:scaling>
        <c:axPos val="b"/>
        <c:tickLblPos val="nextTo"/>
        <c:crossAx val="95986432"/>
        <c:crosses val="autoZero"/>
        <c:auto val="1"/>
        <c:lblAlgn val="ctr"/>
        <c:lblOffset val="100"/>
      </c:catAx>
      <c:valAx>
        <c:axId val="95986432"/>
        <c:scaling>
          <c:orientation val="minMax"/>
        </c:scaling>
        <c:axPos val="l"/>
        <c:majorGridlines/>
        <c:numFmt formatCode="General" sourceLinked="1"/>
        <c:tickLblPos val="nextTo"/>
        <c:crossAx val="95968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79541697876309"/>
          <c:y val="0.15103349689841586"/>
          <c:w val="0.20731774435459921"/>
          <c:h val="0.63810941708708391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95.7</c:v>
                </c:pt>
                <c:pt idx="2">
                  <c:v>100</c:v>
                </c:pt>
                <c:pt idx="3">
                  <c:v>97.9</c:v>
                </c:pt>
                <c:pt idx="4">
                  <c:v>100</c:v>
                </c:pt>
                <c:pt idx="5">
                  <c:v>90.7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85.7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96.7</c:v>
                </c:pt>
              </c:numCache>
            </c:numRef>
          </c:val>
        </c:ser>
        <c:shape val="cylinder"/>
        <c:axId val="96495104"/>
        <c:axId val="96496640"/>
        <c:axId val="0"/>
      </c:bar3DChart>
      <c:catAx>
        <c:axId val="96495104"/>
        <c:scaling>
          <c:orientation val="minMax"/>
        </c:scaling>
        <c:axPos val="b"/>
        <c:tickLblPos val="nextTo"/>
        <c:crossAx val="96496640"/>
        <c:crosses val="autoZero"/>
        <c:auto val="1"/>
        <c:lblAlgn val="ctr"/>
        <c:lblOffset val="100"/>
      </c:catAx>
      <c:valAx>
        <c:axId val="96496640"/>
        <c:scaling>
          <c:orientation val="minMax"/>
        </c:scaling>
        <c:axPos val="l"/>
        <c:majorGridlines/>
        <c:numFmt formatCode="General" sourceLinked="1"/>
        <c:tickLblPos val="nextTo"/>
        <c:crossAx val="9649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79541697876375"/>
          <c:y val="0.15103349689841594"/>
          <c:w val="0.20731774435459921"/>
          <c:h val="0.63810941708708435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94.4</c:v>
                </c:pt>
                <c:pt idx="1">
                  <c:v>87</c:v>
                </c:pt>
                <c:pt idx="2">
                  <c:v>100</c:v>
                </c:pt>
                <c:pt idx="3">
                  <c:v>97.9</c:v>
                </c:pt>
                <c:pt idx="4">
                  <c:v>86.4</c:v>
                </c:pt>
                <c:pt idx="5">
                  <c:v>90.7</c:v>
                </c:pt>
                <c:pt idx="6">
                  <c:v>92.9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85.7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93.8</c:v>
                </c:pt>
              </c:numCache>
            </c:numRef>
          </c:val>
        </c:ser>
        <c:shape val="cylinder"/>
        <c:axId val="96604160"/>
        <c:axId val="96605696"/>
        <c:axId val="0"/>
      </c:bar3DChart>
      <c:catAx>
        <c:axId val="96604160"/>
        <c:scaling>
          <c:orientation val="minMax"/>
        </c:scaling>
        <c:axPos val="b"/>
        <c:tickLblPos val="nextTo"/>
        <c:crossAx val="96605696"/>
        <c:crosses val="autoZero"/>
        <c:auto val="1"/>
        <c:lblAlgn val="ctr"/>
        <c:lblOffset val="100"/>
      </c:catAx>
      <c:valAx>
        <c:axId val="96605696"/>
        <c:scaling>
          <c:orientation val="minMax"/>
        </c:scaling>
        <c:axPos val="l"/>
        <c:majorGridlines/>
        <c:numFmt formatCode="General" sourceLinked="1"/>
        <c:tickLblPos val="nextTo"/>
        <c:crossAx val="9660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79541697876431"/>
          <c:y val="0.15103349689841603"/>
          <c:w val="0.20731774435459921"/>
          <c:h val="0.6381094170870849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97.9</c:v>
                </c:pt>
                <c:pt idx="4">
                  <c:v>77.3</c:v>
                </c:pt>
                <c:pt idx="5">
                  <c:v>95.3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96.3</c:v>
                </c:pt>
              </c:numCache>
            </c:numRef>
          </c:val>
        </c:ser>
        <c:shape val="cylinder"/>
        <c:axId val="96782592"/>
        <c:axId val="102240256"/>
        <c:axId val="0"/>
      </c:bar3DChart>
      <c:catAx>
        <c:axId val="96782592"/>
        <c:scaling>
          <c:orientation val="minMax"/>
        </c:scaling>
        <c:axPos val="b"/>
        <c:tickLblPos val="nextTo"/>
        <c:crossAx val="102240256"/>
        <c:crosses val="autoZero"/>
        <c:auto val="1"/>
        <c:lblAlgn val="ctr"/>
        <c:lblOffset val="100"/>
      </c:catAx>
      <c:valAx>
        <c:axId val="102240256"/>
        <c:scaling>
          <c:orientation val="minMax"/>
        </c:scaling>
        <c:axPos val="l"/>
        <c:majorGridlines/>
        <c:numFmt formatCode="General" sourceLinked="1"/>
        <c:tickLblPos val="nextTo"/>
        <c:crossAx val="9678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79541697876487"/>
          <c:y val="0.15103349689841614"/>
          <c:w val="0.20731774435459921"/>
          <c:h val="0.63810941708708535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Кол-во положительных ответов, в %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43.5</c:v>
                </c:pt>
                <c:pt idx="2">
                  <c:v>42.9</c:v>
                </c:pt>
                <c:pt idx="3">
                  <c:v>41.7</c:v>
                </c:pt>
                <c:pt idx="4">
                  <c:v>86.4</c:v>
                </c:pt>
                <c:pt idx="5">
                  <c:v>46.5</c:v>
                </c:pt>
                <c:pt idx="6">
                  <c:v>64.3</c:v>
                </c:pt>
                <c:pt idx="7">
                  <c:v>54.5</c:v>
                </c:pt>
                <c:pt idx="8">
                  <c:v>100</c:v>
                </c:pt>
                <c:pt idx="9">
                  <c:v>83.3</c:v>
                </c:pt>
                <c:pt idx="10">
                  <c:v>86.7</c:v>
                </c:pt>
                <c:pt idx="11">
                  <c:v>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10</c:v>
                </c:pt>
                <c:pt idx="8">
                  <c:v>СОШ № 14</c:v>
                </c:pt>
                <c:pt idx="9">
                  <c:v>СОШ № 16</c:v>
                </c:pt>
                <c:pt idx="10">
                  <c:v>СОШ № 20</c:v>
                </c:pt>
                <c:pt idx="11">
                  <c:v>СОШ № 23</c:v>
                </c:pt>
                <c:pt idx="12">
                  <c:v>СОШ № 26</c:v>
                </c:pt>
                <c:pt idx="13">
                  <c:v>СОШ № 30</c:v>
                </c:pt>
                <c:pt idx="14">
                  <c:v>СОШ № 33</c:v>
                </c:pt>
                <c:pt idx="15">
                  <c:v>Район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15">
                  <c:v>96.3</c:v>
                </c:pt>
              </c:numCache>
            </c:numRef>
          </c:val>
        </c:ser>
        <c:shape val="cylinder"/>
        <c:axId val="102302464"/>
        <c:axId val="102304000"/>
        <c:axId val="0"/>
      </c:bar3DChart>
      <c:catAx>
        <c:axId val="102302464"/>
        <c:scaling>
          <c:orientation val="minMax"/>
        </c:scaling>
        <c:axPos val="b"/>
        <c:tickLblPos val="nextTo"/>
        <c:crossAx val="102304000"/>
        <c:crosses val="autoZero"/>
        <c:auto val="1"/>
        <c:lblAlgn val="ctr"/>
        <c:lblOffset val="100"/>
      </c:catAx>
      <c:valAx>
        <c:axId val="102304000"/>
        <c:scaling>
          <c:orientation val="minMax"/>
        </c:scaling>
        <c:axPos val="l"/>
        <c:majorGridlines/>
        <c:numFmt formatCode="General" sourceLinked="1"/>
        <c:tickLblPos val="nextTo"/>
        <c:crossAx val="10230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79541697876553"/>
          <c:y val="0.15103349689841625"/>
          <c:w val="0.20731774435459921"/>
          <c:h val="0.6381094170870859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509F-B696-48CC-A6D4-E2DBE188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ЦРО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14</cp:revision>
  <dcterms:created xsi:type="dcterms:W3CDTF">2015-11-11T16:21:00Z</dcterms:created>
  <dcterms:modified xsi:type="dcterms:W3CDTF">2015-12-03T05:59:00Z</dcterms:modified>
</cp:coreProperties>
</file>